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0"/>
        <w:jc w:val="center"/>
        <w:rPr>
          <w:sz w:val="30"/>
          <w:szCs w:val="30"/>
        </w:rPr>
      </w:pPr>
    </w:p>
    <w:p>
      <w:pPr>
        <w:ind w:firstLine="600"/>
        <w:jc w:val="center"/>
        <w:rPr>
          <w:sz w:val="30"/>
          <w:szCs w:val="30"/>
        </w:rPr>
      </w:pPr>
    </w:p>
    <w:p>
      <w:pPr>
        <w:ind w:firstLine="600"/>
        <w:jc w:val="center"/>
        <w:rPr>
          <w:sz w:val="30"/>
          <w:szCs w:val="30"/>
        </w:rPr>
      </w:pPr>
    </w:p>
    <w:p>
      <w:pPr>
        <w:keepNext w:val="0"/>
        <w:keepLines w:val="0"/>
        <w:pageBreakBefore w:val="0"/>
        <w:widowControl w:val="0"/>
        <w:kinsoku/>
        <w:wordWrap/>
        <w:overflowPunct/>
        <w:topLinePunct w:val="0"/>
        <w:autoSpaceDE/>
        <w:autoSpaceDN/>
        <w:bidi w:val="0"/>
        <w:adjustRightInd/>
        <w:snapToGrid/>
        <w:spacing w:before="334" w:beforeLines="100" w:after="334" w:afterLines="100"/>
        <w:ind w:left="0" w:leftChars="0" w:firstLine="0" w:firstLineChars="0"/>
        <w:jc w:val="center"/>
        <w:textAlignment w:val="auto"/>
        <w:rPr>
          <w:sz w:val="44"/>
          <w:szCs w:val="40"/>
        </w:rPr>
      </w:pPr>
      <w:bookmarkStart w:id="0" w:name="_Toc32589"/>
      <w:bookmarkStart w:id="1" w:name="_Toc23172"/>
      <w:r>
        <w:rPr>
          <w:sz w:val="44"/>
          <w:szCs w:val="40"/>
        </w:rPr>
        <w:t>广东隆达铝业有限公司</w:t>
      </w:r>
      <w:bookmarkEnd w:id="0"/>
      <w:bookmarkEnd w:id="1"/>
    </w:p>
    <w:p>
      <w:pPr>
        <w:keepNext w:val="0"/>
        <w:keepLines w:val="0"/>
        <w:pageBreakBefore w:val="0"/>
        <w:widowControl w:val="0"/>
        <w:kinsoku/>
        <w:wordWrap/>
        <w:overflowPunct/>
        <w:topLinePunct w:val="0"/>
        <w:autoSpaceDE/>
        <w:autoSpaceDN/>
        <w:bidi w:val="0"/>
        <w:adjustRightInd/>
        <w:snapToGrid/>
        <w:spacing w:before="334" w:beforeLines="100" w:after="334" w:afterLines="100"/>
        <w:ind w:firstLine="0" w:firstLineChars="0"/>
        <w:jc w:val="center"/>
        <w:textAlignment w:val="auto"/>
        <w:rPr>
          <w:rFonts w:cs="Times New Roman"/>
          <w:sz w:val="44"/>
          <w:szCs w:val="44"/>
        </w:rPr>
      </w:pPr>
      <w:r>
        <w:rPr>
          <w:rFonts w:cs="Times New Roman"/>
          <w:sz w:val="44"/>
          <w:szCs w:val="44"/>
        </w:rPr>
        <w:t>202</w:t>
      </w:r>
      <w:r>
        <w:rPr>
          <w:rFonts w:hint="eastAsia" w:cs="Times New Roman"/>
          <w:sz w:val="44"/>
          <w:szCs w:val="44"/>
        </w:rPr>
        <w:t>3</w:t>
      </w:r>
      <w:r>
        <w:rPr>
          <w:rFonts w:cs="Times New Roman"/>
          <w:sz w:val="44"/>
          <w:szCs w:val="44"/>
        </w:rPr>
        <w:t>年度温室气体排放盘查报告</w:t>
      </w: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600"/>
        <w:jc w:val="center"/>
        <w:rPr>
          <w:sz w:val="30"/>
          <w:szCs w:val="30"/>
        </w:rPr>
      </w:pPr>
    </w:p>
    <w:p>
      <w:pPr>
        <w:ind w:firstLine="0" w:firstLineChars="0"/>
        <w:jc w:val="center"/>
        <w:rPr>
          <w:sz w:val="30"/>
          <w:szCs w:val="30"/>
        </w:rPr>
      </w:pPr>
    </w:p>
    <w:p>
      <w:pPr>
        <w:ind w:firstLine="0" w:firstLineChars="0"/>
        <w:jc w:val="center"/>
        <w:rPr>
          <w:sz w:val="30"/>
          <w:szCs w:val="30"/>
        </w:rPr>
      </w:pPr>
    </w:p>
    <w:p>
      <w:pPr>
        <w:ind w:firstLine="0" w:firstLineChars="0"/>
        <w:jc w:val="center"/>
        <w:rPr>
          <w:sz w:val="30"/>
          <w:szCs w:val="30"/>
        </w:rPr>
      </w:pPr>
      <w:r>
        <w:rPr>
          <w:rFonts w:hint="eastAsia"/>
          <w:sz w:val="30"/>
          <w:szCs w:val="30"/>
        </w:rPr>
        <w:t>报告人</w:t>
      </w:r>
      <w:r>
        <w:rPr>
          <w:sz w:val="30"/>
          <w:szCs w:val="30"/>
        </w:rPr>
        <w:t>：</w:t>
      </w:r>
      <w:r>
        <w:rPr>
          <w:rFonts w:asciiTheme="minorHAnsi" w:hAnsiTheme="minorHAnsi"/>
          <w:sz w:val="30"/>
          <w:szCs w:val="30"/>
        </w:rPr>
        <w:t>广东隆达铝业有限公司</w:t>
      </w:r>
    </w:p>
    <w:p>
      <w:pPr>
        <w:ind w:firstLine="0" w:firstLineChars="0"/>
        <w:jc w:val="center"/>
        <w:rPr>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17" w:right="1701" w:bottom="1417" w:left="1701" w:header="851" w:footer="992" w:gutter="283"/>
          <w:cols w:space="0" w:num="1"/>
          <w:titlePg/>
          <w:docGrid w:type="lines" w:linePitch="333" w:charSpace="0"/>
        </w:sectPr>
      </w:pPr>
      <w:r>
        <w:rPr>
          <w:rFonts w:hint="eastAsia"/>
          <w:sz w:val="30"/>
          <w:szCs w:val="30"/>
        </w:rPr>
        <w:t>发布</w:t>
      </w:r>
      <w:r>
        <w:rPr>
          <w:sz w:val="30"/>
          <w:szCs w:val="30"/>
        </w:rPr>
        <w:t>日期：</w:t>
      </w:r>
      <w:r>
        <w:rPr>
          <w:rFonts w:hint="eastAsia"/>
          <w:sz w:val="30"/>
          <w:szCs w:val="30"/>
        </w:rPr>
        <w:t>2024年0</w:t>
      </w:r>
      <w:r>
        <w:rPr>
          <w:rFonts w:hint="eastAsia"/>
          <w:sz w:val="30"/>
          <w:szCs w:val="30"/>
          <w:lang w:val="en-US" w:eastAsia="zh-CN"/>
        </w:rPr>
        <w:t>8</w:t>
      </w:r>
      <w:r>
        <w:rPr>
          <w:rFonts w:hint="eastAsia"/>
          <w:sz w:val="30"/>
          <w:szCs w:val="30"/>
        </w:rPr>
        <w:t>月</w:t>
      </w:r>
      <w:r>
        <w:rPr>
          <w:rFonts w:hint="eastAsia"/>
          <w:sz w:val="30"/>
          <w:szCs w:val="30"/>
          <w:lang w:val="en-US" w:eastAsia="zh-CN"/>
        </w:rPr>
        <w:t>13</w:t>
      </w:r>
      <w:r>
        <w:rPr>
          <w:rFonts w:hint="eastAsia"/>
          <w:sz w:val="30"/>
          <w:szCs w:val="30"/>
        </w:rPr>
        <w:t>日</w:t>
      </w:r>
    </w:p>
    <w:p>
      <w:pPr>
        <w:pStyle w:val="21"/>
        <w:jc w:val="center"/>
      </w:pPr>
      <w:bookmarkStart w:id="2" w:name="_Toc1014"/>
      <w:bookmarkStart w:id="3" w:name="_Toc20922"/>
      <w:r>
        <w:rPr>
          <w:rFonts w:hint="eastAsia"/>
        </w:rPr>
        <w:t xml:space="preserve">概 </w:t>
      </w:r>
      <w:r>
        <w:t xml:space="preserve"> </w:t>
      </w:r>
      <w:r>
        <w:rPr>
          <w:rFonts w:hint="eastAsia"/>
        </w:rPr>
        <w:t>述</w:t>
      </w:r>
      <w:bookmarkEnd w:id="2"/>
      <w:bookmarkEnd w:id="3"/>
    </w:p>
    <w:p>
      <w:pPr>
        <w:ind w:firstLine="480"/>
      </w:pPr>
      <w:r>
        <w:rPr>
          <w:rFonts w:hint="eastAsia"/>
        </w:rPr>
        <w:t>近年来，社会经济的不断发展，温室气体的大量排放，导致全球气候与生态环境发生巨大的变化。现在，全球已掀起减排运动，“节能减排”已经成为政府大力倡导并积极推进的政策。工业企业改善能源使用效率、减少温室气体排放，增强在全球“绿色采购”中的竞争力，尽早在全球贸易中获得“绿色”通行证，实现企业的可持续发展是当务之急。为此，广东隆达铝业有限公司作为一个负责任的企业，积极响应号召，进行节能减排，实现可持续发展，充分向社会彰显我们的公信力。</w:t>
      </w:r>
    </w:p>
    <w:p>
      <w:pPr>
        <w:ind w:firstLine="480"/>
      </w:pPr>
      <w:r>
        <w:rPr>
          <w:rFonts w:hint="eastAsia"/>
        </w:rPr>
        <w:t>公司成立了能效与减排小组</w:t>
      </w:r>
      <w:r>
        <w:rPr>
          <w:rFonts w:cs="Times New Roman"/>
        </w:rPr>
        <w:t>及ISO14064标</w:t>
      </w:r>
      <w:r>
        <w:rPr>
          <w:rFonts w:hint="eastAsia"/>
        </w:rPr>
        <w:t>准推动小组，对公司温室气体排放情况进行盘查，在现状的基础上积极寻求减少温室气体排放的途径和手段，降低自身对气候变化的不利影响，塑造绿色的企业形象。</w:t>
      </w:r>
    </w:p>
    <w:p>
      <w:pPr>
        <w:ind w:firstLine="480"/>
        <w:rPr>
          <w:rFonts w:cs="Times New Roman"/>
        </w:rPr>
      </w:pPr>
      <w:bookmarkStart w:id="4" w:name="_Hlk116651806"/>
      <w:r>
        <w:rPr>
          <w:rFonts w:cs="Times New Roman"/>
        </w:rPr>
        <w:t>经初步盘查，本公司202</w:t>
      </w:r>
      <w:r>
        <w:rPr>
          <w:rFonts w:hint="eastAsia" w:cs="Times New Roman"/>
        </w:rPr>
        <w:t>3</w:t>
      </w:r>
      <w:r>
        <w:rPr>
          <w:rFonts w:cs="Times New Roman"/>
        </w:rPr>
        <w:t>年度温室气体排放量总计</w:t>
      </w:r>
      <w:r>
        <w:rPr>
          <w:rFonts w:cs="Times New Roman"/>
          <w:color w:val="000000" w:themeColor="text1"/>
          <w14:textFill>
            <w14:solidFill>
              <w14:schemeClr w14:val="tx1"/>
            </w14:solidFill>
          </w14:textFill>
        </w:rPr>
        <w:t>为</w:t>
      </w:r>
      <w:r>
        <w:rPr>
          <w:rFonts w:hint="eastAsia"/>
          <w:color w:val="000000" w:themeColor="text1"/>
          <w:lang w:val="en-US" w:eastAsia="zh-CN"/>
          <w14:textFill>
            <w14:solidFill>
              <w14:schemeClr w14:val="tx1"/>
            </w14:solidFill>
          </w14:textFill>
        </w:rPr>
        <w:t>271,955.64</w:t>
      </w:r>
      <w:r>
        <w:rPr>
          <w:rFonts w:cs="Times New Roman"/>
          <w:color w:val="000000" w:themeColor="text1"/>
          <w14:textFill>
            <w14:solidFill>
              <w14:schemeClr w14:val="tx1"/>
            </w14:solidFill>
          </w14:textFill>
        </w:rPr>
        <w:t>tCO</w:t>
      </w:r>
      <w:r>
        <w:rPr>
          <w:rFonts w:cs="Times New Roman"/>
          <w:color w:val="000000" w:themeColor="text1"/>
          <w:vertAlign w:val="subscript"/>
          <w14:textFill>
            <w14:solidFill>
              <w14:schemeClr w14:val="tx1"/>
            </w14:solidFill>
          </w14:textFill>
        </w:rPr>
        <w:t>2</w:t>
      </w:r>
      <w:r>
        <w:rPr>
          <w:rFonts w:cs="Times New Roman"/>
          <w:color w:val="000000" w:themeColor="text1"/>
          <w14:textFill>
            <w14:solidFill>
              <w14:schemeClr w14:val="tx1"/>
            </w14:solidFill>
          </w14:textFill>
        </w:rPr>
        <w:t>e，</w:t>
      </w:r>
      <w:r>
        <w:rPr>
          <w:rFonts w:cs="Times New Roman"/>
        </w:rPr>
        <w:t>其中：</w:t>
      </w:r>
    </w:p>
    <w:p>
      <w:pPr>
        <w:ind w:firstLine="480"/>
        <w:rPr>
          <w:rFonts w:cs="Times New Roman"/>
        </w:rPr>
      </w:pPr>
      <w:r>
        <w:rPr>
          <w:rFonts w:cs="Times New Roman"/>
        </w:rPr>
        <w:t>类别1—直接温室气体排放的合计排放量为</w:t>
      </w:r>
      <w:r>
        <w:rPr>
          <w:rFonts w:hint="eastAsia" w:cs="Times New Roman"/>
          <w:lang w:val="en-US" w:eastAsia="zh-CN"/>
        </w:rPr>
        <w:t>12,506.41</w:t>
      </w:r>
      <w:r>
        <w:rPr>
          <w:rFonts w:cs="Times New Roman"/>
        </w:rPr>
        <w:t>tCO</w:t>
      </w:r>
      <w:r>
        <w:rPr>
          <w:rFonts w:cs="Times New Roman"/>
          <w:vertAlign w:val="subscript"/>
        </w:rPr>
        <w:t>2</w:t>
      </w:r>
      <w:r>
        <w:rPr>
          <w:rFonts w:cs="Times New Roman"/>
        </w:rPr>
        <w:t xml:space="preserve">e，占全部排放的 </w:t>
      </w:r>
      <w:r>
        <w:rPr>
          <w:rFonts w:hint="eastAsia"/>
          <w:lang w:val="en-US" w:eastAsia="zh-CN"/>
        </w:rPr>
        <w:t>4.60</w:t>
      </w:r>
      <w:r>
        <w:rPr>
          <w:rFonts w:cs="Times New Roman"/>
        </w:rPr>
        <w:t>%；</w:t>
      </w:r>
    </w:p>
    <w:p>
      <w:pPr>
        <w:ind w:firstLine="480"/>
        <w:rPr>
          <w:rFonts w:cs="Times New Roman"/>
        </w:rPr>
      </w:pPr>
      <w:r>
        <w:rPr>
          <w:rFonts w:cs="Times New Roman"/>
        </w:rPr>
        <w:t>类别2—能源的间接温室气体排放的合计排放量为</w:t>
      </w:r>
      <w:r>
        <w:rPr>
          <w:rFonts w:hint="eastAsia"/>
          <w:lang w:val="en-US" w:eastAsia="zh-CN"/>
        </w:rPr>
        <w:t>1,772.48</w:t>
      </w:r>
      <w:r>
        <w:rPr>
          <w:rFonts w:cs="Times New Roman"/>
        </w:rPr>
        <w:t>tCO</w:t>
      </w:r>
      <w:r>
        <w:rPr>
          <w:rFonts w:cs="Times New Roman"/>
          <w:vertAlign w:val="subscript"/>
        </w:rPr>
        <w:t>2</w:t>
      </w:r>
      <w:r>
        <w:rPr>
          <w:rFonts w:cs="Times New Roman"/>
        </w:rPr>
        <w:t>e，占全部排放的</w:t>
      </w:r>
      <w:r>
        <w:rPr>
          <w:rFonts w:hint="eastAsia"/>
          <w:lang w:val="en-US" w:eastAsia="zh-CN"/>
        </w:rPr>
        <w:t>0.65</w:t>
      </w:r>
      <w:r>
        <w:rPr>
          <w:rFonts w:cs="Times New Roman"/>
        </w:rPr>
        <w:t>%；</w:t>
      </w:r>
      <w:bookmarkEnd w:id="4"/>
    </w:p>
    <w:p>
      <w:pPr>
        <w:ind w:firstLine="480"/>
        <w:rPr>
          <w:rFonts w:cs="Times New Roman"/>
        </w:rPr>
      </w:pPr>
      <w:r>
        <w:rPr>
          <w:rFonts w:cs="Times New Roman"/>
        </w:rPr>
        <w:t>类别3—交通运输的间接温室气体排放的合计排放量为</w:t>
      </w:r>
      <w:r>
        <w:rPr>
          <w:rFonts w:hint="eastAsia"/>
          <w:lang w:val="en-US" w:eastAsia="zh-CN"/>
        </w:rPr>
        <w:t>1,501.23</w:t>
      </w:r>
      <w:r>
        <w:rPr>
          <w:rFonts w:cs="Times New Roman"/>
        </w:rPr>
        <w:t>tCO</w:t>
      </w:r>
      <w:r>
        <w:rPr>
          <w:rFonts w:cs="Times New Roman"/>
          <w:vertAlign w:val="subscript"/>
        </w:rPr>
        <w:t>2</w:t>
      </w:r>
      <w:r>
        <w:rPr>
          <w:rFonts w:cs="Times New Roman"/>
        </w:rPr>
        <w:t>e，占全部排放的</w:t>
      </w:r>
      <w:r>
        <w:rPr>
          <w:rFonts w:hint="eastAsia"/>
          <w:lang w:val="en-US" w:eastAsia="zh-CN"/>
        </w:rPr>
        <w:t>0.55</w:t>
      </w:r>
      <w:r>
        <w:rPr>
          <w:rFonts w:cs="Times New Roman"/>
        </w:rPr>
        <w:t>%；</w:t>
      </w:r>
    </w:p>
    <w:p>
      <w:pPr>
        <w:ind w:firstLine="480"/>
        <w:rPr>
          <w:rFonts w:cs="Times New Roman"/>
        </w:rPr>
      </w:pPr>
      <w:r>
        <w:rPr>
          <w:rFonts w:cs="Times New Roman"/>
        </w:rPr>
        <w:t>类别4—</w:t>
      </w:r>
      <w:r>
        <w:rPr>
          <w:rFonts w:hint="eastAsia" w:cs="Times New Roman"/>
        </w:rPr>
        <w:t>组织使用的产品产生的间接温室气体排放的合计排放量为</w:t>
      </w:r>
      <w:r>
        <w:rPr>
          <w:rFonts w:hint="eastAsia" w:cs="Times New Roman"/>
          <w:lang w:val="en-US" w:eastAsia="zh-CN"/>
        </w:rPr>
        <w:t>256,175.52</w:t>
      </w:r>
      <w:r>
        <w:rPr>
          <w:rFonts w:hint="eastAsia" w:cs="Times New Roman"/>
        </w:rPr>
        <w:t>tCO</w:t>
      </w:r>
      <w:r>
        <w:rPr>
          <w:rFonts w:hint="eastAsia" w:cs="Times New Roman"/>
          <w:vertAlign w:val="subscript"/>
        </w:rPr>
        <w:t>2</w:t>
      </w:r>
      <w:r>
        <w:rPr>
          <w:rFonts w:hint="eastAsia" w:cs="Times New Roman"/>
        </w:rPr>
        <w:t>e，占全部排放的</w:t>
      </w:r>
      <w:r>
        <w:rPr>
          <w:rFonts w:hint="eastAsia" w:cs="Times New Roman"/>
          <w:lang w:val="en-US" w:eastAsia="zh-CN"/>
        </w:rPr>
        <w:t>94.20</w:t>
      </w:r>
      <w:r>
        <w:rPr>
          <w:rFonts w:hint="eastAsia" w:cs="Times New Roman"/>
        </w:rPr>
        <w:t>%</w:t>
      </w:r>
      <w:r>
        <w:rPr>
          <w:rFonts w:cs="Times New Roman"/>
        </w:rPr>
        <w:t>；</w:t>
      </w:r>
    </w:p>
    <w:p>
      <w:pPr>
        <w:ind w:firstLine="480"/>
        <w:rPr>
          <w:rFonts w:cs="Times New Roman"/>
        </w:rPr>
      </w:pPr>
      <w:r>
        <w:rPr>
          <w:rFonts w:cs="Times New Roman"/>
        </w:rPr>
        <w:t>类别5—与使用组织的产品有关的间接温室气体排放，暂不涉及；</w:t>
      </w:r>
    </w:p>
    <w:p>
      <w:pPr>
        <w:ind w:firstLine="480"/>
        <w:rPr>
          <w:rFonts w:cs="Times New Roman"/>
        </w:rPr>
      </w:pPr>
      <w:r>
        <w:rPr>
          <w:rFonts w:cs="Times New Roman"/>
        </w:rPr>
        <w:t>类别6—其他来源温室气体排放，因占比较小且不易量化，只作定性说明。</w:t>
      </w:r>
    </w:p>
    <w:p>
      <w:pPr>
        <w:ind w:firstLine="480"/>
        <w:rPr>
          <w:sz w:val="30"/>
          <w:szCs w:val="30"/>
        </w:rPr>
        <w:sectPr>
          <w:headerReference r:id="rId9" w:type="default"/>
          <w:pgSz w:w="11906" w:h="16838"/>
          <w:pgMar w:top="1417" w:right="1701" w:bottom="1417" w:left="1701" w:header="851" w:footer="992" w:gutter="283"/>
          <w:pgNumType w:fmt="upperRoman" w:start="1"/>
          <w:cols w:space="0" w:num="1"/>
          <w:docGrid w:type="lines" w:linePitch="333" w:charSpace="0"/>
        </w:sectPr>
      </w:pPr>
      <w:r>
        <w:rPr>
          <w:rFonts w:hint="eastAsia"/>
        </w:rPr>
        <w:t>碳盘查作为企业碳中和进程的重要一步，是制定后续减排方案的关键。编制碳盘查报告，企业能够清楚地了解各个环节产生的碳排放量，同时为满足与企业生产活动相关的各个利益相关方对企业碳信息披露的要求做好准备，是践行企业社会责任的重要表现</w:t>
      </w:r>
      <w:r>
        <w:t>。</w:t>
      </w:r>
    </w:p>
    <w:sdt>
      <w:sdtPr>
        <w:rPr>
          <w:rFonts w:ascii="宋体" w:hAnsi="宋体" w:eastAsia="宋体" w:cstheme="minorBidi"/>
          <w:kern w:val="2"/>
          <w:sz w:val="21"/>
          <w:szCs w:val="22"/>
          <w:lang w:val="en-US" w:eastAsia="zh-CN" w:bidi="ar-SA"/>
        </w:rPr>
        <w:id w:val="147455204"/>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360" w:lineRule="auto"/>
            <w:ind w:left="0" w:leftChars="0" w:right="0" w:rightChars="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目录</w:t>
          </w:r>
        </w:p>
        <w:p>
          <w:pPr>
            <w:pStyle w:val="8"/>
            <w:tabs>
              <w:tab w:val="right" w:leader="dot" w:pos="8221"/>
            </w:tabs>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"1-3" \h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_Toc20922 </w:instrText>
          </w:r>
          <w:r>
            <w:rPr>
              <w:rFonts w:hint="default" w:ascii="Times New Roman" w:hAnsi="Times New Roman" w:eastAsia="宋体" w:cs="Times New Roman"/>
              <w:szCs w:val="24"/>
            </w:rPr>
            <w:fldChar w:fldCharType="separate"/>
          </w:r>
          <w:r>
            <w:rPr>
              <w:rFonts w:hint="eastAsia"/>
            </w:rPr>
            <w:t xml:space="preserve">概 </w:t>
          </w:r>
          <w:r>
            <w:t xml:space="preserve"> </w:t>
          </w:r>
          <w:r>
            <w:rPr>
              <w:rFonts w:hint="eastAsia"/>
            </w:rPr>
            <w:t>述</w:t>
          </w:r>
          <w:r>
            <w:tab/>
          </w:r>
          <w:r>
            <w:fldChar w:fldCharType="begin"/>
          </w:r>
          <w:r>
            <w:instrText xml:space="preserve"> PAGEREF _Toc20922 \h </w:instrText>
          </w:r>
          <w:r>
            <w:fldChar w:fldCharType="separate"/>
          </w:r>
          <w:r>
            <w:t>I</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_Toc1468 </w:instrText>
          </w:r>
          <w:r>
            <w:rPr>
              <w:rFonts w:hint="default" w:ascii="Times New Roman" w:hAnsi="Times New Roman" w:eastAsia="宋体" w:cs="Times New Roman"/>
              <w:szCs w:val="24"/>
            </w:rPr>
            <w:fldChar w:fldCharType="separate"/>
          </w:r>
          <w:r>
            <w:rPr>
              <w:rFonts w:hint="eastAsia"/>
            </w:rPr>
            <w:t>一、组织</w:t>
          </w:r>
          <w:r>
            <w:t>概况</w:t>
          </w:r>
          <w:r>
            <w:tab/>
          </w:r>
          <w:r>
            <w:fldChar w:fldCharType="begin"/>
          </w:r>
          <w:r>
            <w:instrText xml:space="preserve"> PAGEREF _Toc1468 \h </w:instrText>
          </w:r>
          <w:r>
            <w:fldChar w:fldCharType="separate"/>
          </w:r>
          <w:r>
            <w:t>1</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_Toc28280 </w:instrText>
          </w:r>
          <w:r>
            <w:rPr>
              <w:rFonts w:hint="default" w:ascii="Times New Roman" w:hAnsi="Times New Roman" w:eastAsia="宋体" w:cs="Times New Roman"/>
              <w:szCs w:val="24"/>
            </w:rPr>
            <w:fldChar w:fldCharType="separate"/>
          </w:r>
          <w:r>
            <w:rPr>
              <w:rFonts w:hint="eastAsia"/>
            </w:rPr>
            <w:t>1.1公司</w:t>
          </w:r>
          <w:r>
            <w:t>简介</w:t>
          </w:r>
          <w:r>
            <w:tab/>
          </w:r>
          <w:r>
            <w:fldChar w:fldCharType="begin"/>
          </w:r>
          <w:r>
            <w:instrText xml:space="preserve"> PAGEREF _Toc28280 \h </w:instrText>
          </w:r>
          <w:r>
            <w:fldChar w:fldCharType="separate"/>
          </w:r>
          <w:r>
            <w:t>1</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_Toc19118 </w:instrText>
          </w:r>
          <w:r>
            <w:rPr>
              <w:rFonts w:hint="default" w:ascii="Times New Roman" w:hAnsi="Times New Roman" w:eastAsia="宋体" w:cs="Times New Roman"/>
              <w:szCs w:val="24"/>
            </w:rPr>
            <w:fldChar w:fldCharType="separate"/>
          </w:r>
          <w:r>
            <w:rPr>
              <w:rFonts w:hint="eastAsia"/>
            </w:rPr>
            <w:t>1.2报告周期</w:t>
          </w:r>
          <w:r>
            <w:tab/>
          </w:r>
          <w:r>
            <w:fldChar w:fldCharType="begin"/>
          </w:r>
          <w:r>
            <w:instrText xml:space="preserve"> PAGEREF _Toc19118 \h </w:instrText>
          </w:r>
          <w:r>
            <w:fldChar w:fldCharType="separate"/>
          </w:r>
          <w:r>
            <w:t>1</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_Toc17595 </w:instrText>
          </w:r>
          <w:r>
            <w:rPr>
              <w:rFonts w:hint="default" w:ascii="Times New Roman" w:hAnsi="Times New Roman" w:eastAsia="宋体" w:cs="Times New Roman"/>
              <w:szCs w:val="24"/>
            </w:rPr>
            <w:fldChar w:fldCharType="separate"/>
          </w:r>
          <w:r>
            <w:rPr>
              <w:rFonts w:hint="eastAsia"/>
            </w:rPr>
            <w:t>1.3报告编制</w:t>
          </w:r>
          <w:r>
            <w:t>的依据</w:t>
          </w:r>
          <w:r>
            <w:tab/>
          </w:r>
          <w:r>
            <w:fldChar w:fldCharType="begin"/>
          </w:r>
          <w:r>
            <w:instrText xml:space="preserve"> PAGEREF _Toc17595 \h </w:instrText>
          </w:r>
          <w:r>
            <w:fldChar w:fldCharType="separate"/>
          </w:r>
          <w:r>
            <w:t>2</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_Toc29885 </w:instrText>
          </w:r>
          <w:r>
            <w:rPr>
              <w:rFonts w:hint="default" w:ascii="Times New Roman" w:hAnsi="Times New Roman" w:eastAsia="宋体" w:cs="Times New Roman"/>
              <w:szCs w:val="24"/>
            </w:rPr>
            <w:fldChar w:fldCharType="separate"/>
          </w:r>
          <w:r>
            <w:rPr>
              <w:rFonts w:hint="eastAsia"/>
            </w:rPr>
            <w:t>1.4报告编制</w:t>
          </w:r>
          <w:r>
            <w:t>的</w:t>
          </w:r>
          <w:r>
            <w:rPr>
              <w:rFonts w:hint="eastAsia"/>
            </w:rPr>
            <w:t>目的</w:t>
          </w:r>
          <w:r>
            <w:tab/>
          </w:r>
          <w:r>
            <w:fldChar w:fldCharType="begin"/>
          </w:r>
          <w:r>
            <w:instrText xml:space="preserve"> PAGEREF _Toc29885 \h </w:instrText>
          </w:r>
          <w:r>
            <w:fldChar w:fldCharType="separate"/>
          </w:r>
          <w:r>
            <w:t>2</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_Toc27560 </w:instrText>
          </w:r>
          <w:r>
            <w:rPr>
              <w:rFonts w:hint="default" w:ascii="Times New Roman" w:hAnsi="Times New Roman" w:eastAsia="宋体" w:cs="Times New Roman"/>
              <w:szCs w:val="24"/>
            </w:rPr>
            <w:fldChar w:fldCharType="separate"/>
          </w:r>
          <w:r>
            <w:rPr>
              <w:rFonts w:hint="eastAsia"/>
            </w:rPr>
            <w:t>二、盘查</w:t>
          </w:r>
          <w:r>
            <w:t>边界的设定</w:t>
          </w:r>
          <w:r>
            <w:tab/>
          </w:r>
          <w:r>
            <w:fldChar w:fldCharType="begin"/>
          </w:r>
          <w:r>
            <w:instrText xml:space="preserve"> PAGEREF _Toc27560 \h </w:instrText>
          </w:r>
          <w:r>
            <w:fldChar w:fldCharType="separate"/>
          </w:r>
          <w:r>
            <w:t>3</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_Toc3519 </w:instrText>
          </w:r>
          <w:r>
            <w:rPr>
              <w:rFonts w:hint="default" w:ascii="Times New Roman" w:hAnsi="Times New Roman" w:eastAsia="宋体" w:cs="Times New Roman"/>
              <w:szCs w:val="24"/>
            </w:rPr>
            <w:fldChar w:fldCharType="separate"/>
          </w:r>
          <w:r>
            <w:rPr>
              <w:rFonts w:hint="eastAsia"/>
            </w:rPr>
            <w:t>2.1公司</w:t>
          </w:r>
          <w:r>
            <w:t>边界范围</w:t>
          </w:r>
          <w:r>
            <w:tab/>
          </w:r>
          <w:r>
            <w:fldChar w:fldCharType="begin"/>
          </w:r>
          <w:r>
            <w:instrText xml:space="preserve"> PAGEREF _Toc3519 \h </w:instrText>
          </w:r>
          <w:r>
            <w:fldChar w:fldCharType="separate"/>
          </w:r>
          <w:r>
            <w:t>3</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_Toc32742 </w:instrText>
          </w:r>
          <w:r>
            <w:rPr>
              <w:rFonts w:hint="default" w:ascii="Times New Roman" w:hAnsi="Times New Roman" w:eastAsia="宋体" w:cs="Times New Roman"/>
              <w:szCs w:val="24"/>
            </w:rPr>
            <w:fldChar w:fldCharType="separate"/>
          </w:r>
          <w:r>
            <w:rPr>
              <w:rFonts w:hint="eastAsia"/>
            </w:rPr>
            <w:t>2.2组织</w:t>
          </w:r>
          <w:r>
            <w:t>边界及变更说明</w:t>
          </w:r>
          <w:r>
            <w:tab/>
          </w:r>
          <w:r>
            <w:fldChar w:fldCharType="begin"/>
          </w:r>
          <w:r>
            <w:instrText xml:space="preserve"> PAGEREF _Toc32742 \h </w:instrText>
          </w:r>
          <w:r>
            <w:fldChar w:fldCharType="separate"/>
          </w:r>
          <w:r>
            <w:t>3</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_Toc6492 </w:instrText>
          </w:r>
          <w:r>
            <w:rPr>
              <w:rFonts w:hint="default" w:ascii="Times New Roman" w:hAnsi="Times New Roman" w:eastAsia="宋体" w:cs="Times New Roman"/>
              <w:szCs w:val="24"/>
            </w:rPr>
            <w:fldChar w:fldCharType="separate"/>
          </w:r>
          <w:r>
            <w:rPr>
              <w:rFonts w:hint="eastAsia"/>
            </w:rPr>
            <w:t>2.3报告边界及变更说明</w:t>
          </w:r>
          <w:r>
            <w:tab/>
          </w:r>
          <w:r>
            <w:fldChar w:fldCharType="begin"/>
          </w:r>
          <w:r>
            <w:instrText xml:space="preserve"> PAGEREF _Toc6492 \h </w:instrText>
          </w:r>
          <w:r>
            <w:fldChar w:fldCharType="separate"/>
          </w:r>
          <w:r>
            <w:t>3</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_Toc20907 </w:instrText>
          </w:r>
          <w:r>
            <w:rPr>
              <w:rFonts w:hint="default" w:ascii="Times New Roman" w:hAnsi="Times New Roman" w:eastAsia="宋体" w:cs="Times New Roman"/>
              <w:szCs w:val="24"/>
            </w:rPr>
            <w:fldChar w:fldCharType="separate"/>
          </w:r>
          <w:r>
            <w:rPr>
              <w:rFonts w:hint="eastAsia"/>
            </w:rPr>
            <w:t>2.4排除门槛</w:t>
          </w:r>
          <w:r>
            <w:tab/>
          </w:r>
          <w:r>
            <w:fldChar w:fldCharType="begin"/>
          </w:r>
          <w:r>
            <w:instrText xml:space="preserve"> PAGEREF _Toc20907 \h </w:instrText>
          </w:r>
          <w:r>
            <w:fldChar w:fldCharType="separate"/>
          </w:r>
          <w:r>
            <w:t>4</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_Toc23898 </w:instrText>
          </w:r>
          <w:r>
            <w:rPr>
              <w:rFonts w:hint="default" w:ascii="Times New Roman" w:hAnsi="Times New Roman" w:eastAsia="宋体" w:cs="Times New Roman"/>
              <w:szCs w:val="24"/>
            </w:rPr>
            <w:fldChar w:fldCharType="separate"/>
          </w:r>
          <w:r>
            <w:rPr>
              <w:rFonts w:hint="eastAsia"/>
            </w:rPr>
            <w:t>2.5实质性说明</w:t>
          </w:r>
          <w:r>
            <w:tab/>
          </w:r>
          <w:r>
            <w:fldChar w:fldCharType="begin"/>
          </w:r>
          <w:r>
            <w:instrText xml:space="preserve"> PAGEREF _Toc23898 \h </w:instrText>
          </w:r>
          <w:r>
            <w:fldChar w:fldCharType="separate"/>
          </w:r>
          <w:r>
            <w:t>4</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_Toc5223 </w:instrText>
          </w:r>
          <w:r>
            <w:rPr>
              <w:rFonts w:hint="default" w:ascii="Times New Roman" w:hAnsi="Times New Roman" w:eastAsia="宋体" w:cs="Times New Roman"/>
              <w:szCs w:val="24"/>
            </w:rPr>
            <w:fldChar w:fldCharType="separate"/>
          </w:r>
          <w:r>
            <w:rPr>
              <w:rFonts w:hint="eastAsia"/>
            </w:rPr>
            <w:t>三、温室气体</w:t>
          </w:r>
          <w:r>
            <w:t>排放计算</w:t>
          </w:r>
          <w:r>
            <w:tab/>
          </w:r>
          <w:r>
            <w:fldChar w:fldCharType="begin"/>
          </w:r>
          <w:r>
            <w:instrText xml:space="preserve"> PAGEREF _Toc5223 \h </w:instrText>
          </w:r>
          <w:r>
            <w:fldChar w:fldCharType="separate"/>
          </w:r>
          <w:r>
            <w:t>5</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_Toc14629 </w:instrText>
          </w:r>
          <w:r>
            <w:rPr>
              <w:rFonts w:hint="default" w:ascii="Times New Roman" w:hAnsi="Times New Roman" w:eastAsia="宋体" w:cs="Times New Roman"/>
              <w:szCs w:val="24"/>
            </w:rPr>
            <w:fldChar w:fldCharType="separate"/>
          </w:r>
          <w:r>
            <w:rPr>
              <w:rFonts w:hint="eastAsia"/>
            </w:rPr>
            <w:t>3.1温室</w:t>
          </w:r>
          <w:r>
            <w:t>气体类型</w:t>
          </w:r>
          <w:r>
            <w:tab/>
          </w:r>
          <w:r>
            <w:fldChar w:fldCharType="begin"/>
          </w:r>
          <w:r>
            <w:instrText xml:space="preserve"> PAGEREF _Toc14629 \h </w:instrText>
          </w:r>
          <w:r>
            <w:fldChar w:fldCharType="separate"/>
          </w:r>
          <w:r>
            <w:t>5</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_Toc9382 </w:instrText>
          </w:r>
          <w:r>
            <w:rPr>
              <w:rFonts w:hint="default" w:ascii="Times New Roman" w:hAnsi="Times New Roman" w:eastAsia="宋体" w:cs="Times New Roman"/>
              <w:szCs w:val="24"/>
            </w:rPr>
            <w:fldChar w:fldCharType="separate"/>
          </w:r>
          <w:r>
            <w:rPr>
              <w:rFonts w:hint="eastAsia"/>
            </w:rPr>
            <w:t>3.2直接温室气体排放说明（类别1）</w:t>
          </w:r>
          <w:r>
            <w:tab/>
          </w:r>
          <w:r>
            <w:fldChar w:fldCharType="begin"/>
          </w:r>
          <w:r>
            <w:instrText xml:space="preserve"> PAGEREF _Toc9382 \h </w:instrText>
          </w:r>
          <w:r>
            <w:fldChar w:fldCharType="separate"/>
          </w:r>
          <w:r>
            <w:t>5</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_Toc28324 </w:instrText>
          </w:r>
          <w:r>
            <w:rPr>
              <w:rFonts w:hint="default" w:ascii="Times New Roman" w:hAnsi="Times New Roman" w:eastAsia="宋体" w:cs="Times New Roman"/>
              <w:szCs w:val="24"/>
            </w:rPr>
            <w:fldChar w:fldCharType="separate"/>
          </w:r>
          <w:r>
            <w:rPr>
              <w:rFonts w:hint="eastAsia"/>
            </w:rPr>
            <w:t>3.2.1直接温室气体排放源</w:t>
          </w:r>
          <w:r>
            <w:tab/>
          </w:r>
          <w:r>
            <w:fldChar w:fldCharType="begin"/>
          </w:r>
          <w:r>
            <w:instrText xml:space="preserve"> PAGEREF _Toc28324 \h </w:instrText>
          </w:r>
          <w:r>
            <w:fldChar w:fldCharType="separate"/>
          </w:r>
          <w:r>
            <w:t>5</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_Toc24091 </w:instrText>
          </w:r>
          <w:r>
            <w:rPr>
              <w:rFonts w:hint="default" w:ascii="Times New Roman" w:hAnsi="Times New Roman" w:eastAsia="宋体" w:cs="Times New Roman"/>
              <w:szCs w:val="24"/>
            </w:rPr>
            <w:fldChar w:fldCharType="separate"/>
          </w:r>
          <w:r>
            <w:rPr>
              <w:rFonts w:hint="eastAsia"/>
            </w:rPr>
            <w:t>3.2.</w:t>
          </w:r>
          <w:r>
            <w:t xml:space="preserve">2 </w:t>
          </w:r>
          <w:r>
            <w:rPr>
              <w:rFonts w:hint="eastAsia"/>
            </w:rPr>
            <w:t>直接温室气体排放量总计</w:t>
          </w:r>
          <w:r>
            <w:tab/>
          </w:r>
          <w:r>
            <w:fldChar w:fldCharType="begin"/>
          </w:r>
          <w:r>
            <w:instrText xml:space="preserve"> PAGEREF _Toc24091 \h </w:instrText>
          </w:r>
          <w:r>
            <w:fldChar w:fldCharType="separate"/>
          </w:r>
          <w:r>
            <w:t>5</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_Toc3733 </w:instrText>
          </w:r>
          <w:r>
            <w:rPr>
              <w:rFonts w:hint="default" w:ascii="Times New Roman" w:hAnsi="Times New Roman" w:eastAsia="宋体" w:cs="Times New Roman"/>
              <w:szCs w:val="24"/>
            </w:rPr>
            <w:fldChar w:fldCharType="separate"/>
          </w:r>
          <w:r>
            <w:rPr>
              <w:rFonts w:hint="eastAsia"/>
            </w:rPr>
            <w:t>3.3能源间接温室气体排放说明（类别2）</w:t>
          </w:r>
          <w:r>
            <w:tab/>
          </w:r>
          <w:r>
            <w:fldChar w:fldCharType="begin"/>
          </w:r>
          <w:r>
            <w:instrText xml:space="preserve"> PAGEREF _Toc3733 \h </w:instrText>
          </w:r>
          <w:r>
            <w:fldChar w:fldCharType="separate"/>
          </w:r>
          <w:r>
            <w:t>6</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_Toc2806 </w:instrText>
          </w:r>
          <w:r>
            <w:rPr>
              <w:rFonts w:hint="default" w:ascii="Times New Roman" w:hAnsi="Times New Roman" w:eastAsia="宋体" w:cs="Times New Roman"/>
              <w:szCs w:val="24"/>
            </w:rPr>
            <w:fldChar w:fldCharType="separate"/>
          </w:r>
          <w:r>
            <w:rPr>
              <w:rFonts w:hint="eastAsia"/>
            </w:rPr>
            <w:t>3.3.1能源间接温室气体排放源</w:t>
          </w:r>
          <w:r>
            <w:tab/>
          </w:r>
          <w:r>
            <w:fldChar w:fldCharType="begin"/>
          </w:r>
          <w:r>
            <w:instrText xml:space="preserve"> PAGEREF _Toc2806 \h </w:instrText>
          </w:r>
          <w:r>
            <w:fldChar w:fldCharType="separate"/>
          </w:r>
          <w:r>
            <w:t>6</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_Toc3346 </w:instrText>
          </w:r>
          <w:r>
            <w:rPr>
              <w:rFonts w:hint="default" w:ascii="Times New Roman" w:hAnsi="Times New Roman" w:eastAsia="宋体" w:cs="Times New Roman"/>
              <w:szCs w:val="24"/>
            </w:rPr>
            <w:fldChar w:fldCharType="separate"/>
          </w:r>
          <w:r>
            <w:rPr>
              <w:rFonts w:hint="eastAsia"/>
            </w:rPr>
            <w:t>3.</w:t>
          </w:r>
          <w:r>
            <w:t>3</w:t>
          </w:r>
          <w:r>
            <w:rPr>
              <w:rFonts w:hint="eastAsia"/>
            </w:rPr>
            <w:t>.</w:t>
          </w:r>
          <w:r>
            <w:t xml:space="preserve">2 </w:t>
          </w:r>
          <w:r>
            <w:rPr>
              <w:rFonts w:hint="eastAsia"/>
            </w:rPr>
            <w:t>能源间接温室气体排放总量</w:t>
          </w:r>
          <w:r>
            <w:tab/>
          </w:r>
          <w:r>
            <w:fldChar w:fldCharType="begin"/>
          </w:r>
          <w:r>
            <w:instrText xml:space="preserve"> PAGEREF _Toc3346 \h </w:instrText>
          </w:r>
          <w:r>
            <w:fldChar w:fldCharType="separate"/>
          </w:r>
          <w:r>
            <w:t>6</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_Toc32498 </w:instrText>
          </w:r>
          <w:r>
            <w:rPr>
              <w:rFonts w:hint="default" w:ascii="Times New Roman" w:hAnsi="Times New Roman" w:eastAsia="宋体" w:cs="Times New Roman"/>
              <w:szCs w:val="24"/>
            </w:rPr>
            <w:fldChar w:fldCharType="separate"/>
          </w:r>
          <w:r>
            <w:rPr>
              <w:rFonts w:hint="eastAsia"/>
            </w:rPr>
            <w:t>3.4其他温室气体的排放说明（类别3、类别4、类别5、类别6）</w:t>
          </w:r>
          <w:r>
            <w:tab/>
          </w:r>
          <w:r>
            <w:fldChar w:fldCharType="begin"/>
          </w:r>
          <w:r>
            <w:instrText xml:space="preserve"> PAGEREF _Toc32498 \h </w:instrText>
          </w:r>
          <w:r>
            <w:fldChar w:fldCharType="separate"/>
          </w:r>
          <w:r>
            <w:t>6</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_Toc26343 </w:instrText>
          </w:r>
          <w:r>
            <w:rPr>
              <w:rFonts w:hint="default" w:ascii="Times New Roman" w:hAnsi="Times New Roman" w:eastAsia="宋体" w:cs="Times New Roman"/>
              <w:szCs w:val="24"/>
            </w:rPr>
            <w:fldChar w:fldCharType="separate"/>
          </w:r>
          <w:r>
            <w:rPr>
              <w:rFonts w:hint="eastAsia"/>
            </w:rPr>
            <w:t>3.5</w:t>
          </w:r>
          <w:r>
            <w:t>广东隆达202</w:t>
          </w:r>
          <w:r>
            <w:rPr>
              <w:rFonts w:hint="eastAsia"/>
            </w:rPr>
            <w:t>3</w:t>
          </w:r>
          <w:r>
            <w:t>年</w:t>
          </w:r>
          <w:r>
            <w:rPr>
              <w:rFonts w:hint="eastAsia"/>
            </w:rPr>
            <w:t>度</w:t>
          </w:r>
          <w:r>
            <w:t>温室气体排放量</w:t>
          </w:r>
          <w:r>
            <w:tab/>
          </w:r>
          <w:r>
            <w:fldChar w:fldCharType="begin"/>
          </w:r>
          <w:r>
            <w:instrText xml:space="preserve"> PAGEREF _Toc26343 \h </w:instrText>
          </w:r>
          <w:r>
            <w:fldChar w:fldCharType="separate"/>
          </w:r>
          <w:r>
            <w:t>8</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_Toc17338 </w:instrText>
          </w:r>
          <w:r>
            <w:rPr>
              <w:rFonts w:hint="default" w:ascii="Times New Roman" w:hAnsi="Times New Roman" w:eastAsia="宋体" w:cs="Times New Roman"/>
              <w:szCs w:val="24"/>
            </w:rPr>
            <w:fldChar w:fldCharType="separate"/>
          </w:r>
          <w:r>
            <w:t>四</w:t>
          </w:r>
          <w:r>
            <w:rPr>
              <w:rFonts w:hint="eastAsia"/>
            </w:rPr>
            <w:t>、</w:t>
          </w:r>
          <w:r>
            <w:t>基准年的选择及变更</w:t>
          </w:r>
          <w:r>
            <w:tab/>
          </w:r>
          <w:r>
            <w:fldChar w:fldCharType="begin"/>
          </w:r>
          <w:r>
            <w:instrText xml:space="preserve"> PAGEREF _Toc17338 \h </w:instrText>
          </w:r>
          <w:r>
            <w:fldChar w:fldCharType="separate"/>
          </w:r>
          <w:r>
            <w:t>9</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_Toc18140 </w:instrText>
          </w:r>
          <w:r>
            <w:rPr>
              <w:rFonts w:hint="default" w:ascii="Times New Roman" w:hAnsi="Times New Roman" w:eastAsia="宋体" w:cs="Times New Roman"/>
              <w:szCs w:val="24"/>
            </w:rPr>
            <w:fldChar w:fldCharType="separate"/>
          </w:r>
          <w:r>
            <w:rPr>
              <w:rFonts w:hint="eastAsia"/>
            </w:rPr>
            <w:t>4.1</w:t>
          </w:r>
          <w:r>
            <w:t>基准年的选择</w:t>
          </w:r>
          <w:r>
            <w:tab/>
          </w:r>
          <w:r>
            <w:fldChar w:fldCharType="begin"/>
          </w:r>
          <w:r>
            <w:instrText xml:space="preserve"> PAGEREF _Toc18140 \h </w:instrText>
          </w:r>
          <w:r>
            <w:fldChar w:fldCharType="separate"/>
          </w:r>
          <w:r>
            <w:t>9</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_Toc10648 </w:instrText>
          </w:r>
          <w:r>
            <w:rPr>
              <w:rFonts w:hint="default" w:ascii="Times New Roman" w:hAnsi="Times New Roman" w:eastAsia="宋体" w:cs="Times New Roman"/>
              <w:szCs w:val="24"/>
            </w:rPr>
            <w:fldChar w:fldCharType="separate"/>
          </w:r>
          <w:r>
            <w:rPr>
              <w:rFonts w:hint="eastAsia"/>
            </w:rPr>
            <w:t>4.2</w:t>
          </w:r>
          <w:r>
            <w:t>基准年的变更</w:t>
          </w:r>
          <w:r>
            <w:tab/>
          </w:r>
          <w:r>
            <w:fldChar w:fldCharType="begin"/>
          </w:r>
          <w:r>
            <w:instrText xml:space="preserve"> PAGEREF _Toc10648 \h </w:instrText>
          </w:r>
          <w:r>
            <w:fldChar w:fldCharType="separate"/>
          </w:r>
          <w:r>
            <w:t>9</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_Toc21035 </w:instrText>
          </w:r>
          <w:r>
            <w:rPr>
              <w:rFonts w:hint="default" w:ascii="Times New Roman" w:hAnsi="Times New Roman" w:eastAsia="宋体" w:cs="Times New Roman"/>
              <w:szCs w:val="24"/>
            </w:rPr>
            <w:fldChar w:fldCharType="separate"/>
          </w:r>
          <w:r>
            <w:t>五</w:t>
          </w:r>
          <w:r>
            <w:rPr>
              <w:rFonts w:hint="eastAsia"/>
            </w:rPr>
            <w:t>、</w:t>
          </w:r>
          <w:r>
            <w:t>数据</w:t>
          </w:r>
          <w:r>
            <w:rPr>
              <w:rFonts w:hint="eastAsia"/>
            </w:rPr>
            <w:t>质量</w:t>
          </w:r>
          <w:r>
            <w:t>管理</w:t>
          </w:r>
          <w:r>
            <w:tab/>
          </w:r>
          <w:r>
            <w:fldChar w:fldCharType="begin"/>
          </w:r>
          <w:r>
            <w:instrText xml:space="preserve"> PAGEREF _Toc21035 \h </w:instrText>
          </w:r>
          <w:r>
            <w:fldChar w:fldCharType="separate"/>
          </w:r>
          <w:r>
            <w:t>10</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_Toc26257 </w:instrText>
          </w:r>
          <w:r>
            <w:rPr>
              <w:rFonts w:hint="default" w:ascii="Times New Roman" w:hAnsi="Times New Roman" w:eastAsia="宋体" w:cs="Times New Roman"/>
              <w:szCs w:val="24"/>
            </w:rPr>
            <w:fldChar w:fldCharType="separate"/>
          </w:r>
          <w:r>
            <w:rPr>
              <w:rFonts w:hint="eastAsia"/>
            </w:rPr>
            <w:t>5.1</w:t>
          </w:r>
          <w:r>
            <w:t>温室气体排放量化方法说明</w:t>
          </w:r>
          <w:r>
            <w:tab/>
          </w:r>
          <w:r>
            <w:fldChar w:fldCharType="begin"/>
          </w:r>
          <w:r>
            <w:instrText xml:space="preserve"> PAGEREF _Toc26257 \h </w:instrText>
          </w:r>
          <w:r>
            <w:fldChar w:fldCharType="separate"/>
          </w:r>
          <w:r>
            <w:t>10</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_Toc15791 </w:instrText>
          </w:r>
          <w:r>
            <w:rPr>
              <w:rFonts w:hint="default" w:ascii="Times New Roman" w:hAnsi="Times New Roman" w:eastAsia="宋体" w:cs="Times New Roman"/>
              <w:szCs w:val="24"/>
            </w:rPr>
            <w:fldChar w:fldCharType="separate"/>
          </w:r>
          <w:r>
            <w:rPr>
              <w:rFonts w:hint="eastAsia"/>
            </w:rPr>
            <w:t>5.1.1</w:t>
          </w:r>
          <w:r>
            <w:t>计算方法说明</w:t>
          </w:r>
          <w:r>
            <w:tab/>
          </w:r>
          <w:r>
            <w:fldChar w:fldCharType="begin"/>
          </w:r>
          <w:r>
            <w:instrText xml:space="preserve"> PAGEREF _Toc15791 \h </w:instrText>
          </w:r>
          <w:r>
            <w:fldChar w:fldCharType="separate"/>
          </w:r>
          <w:r>
            <w:t>10</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_Toc32596 </w:instrText>
          </w:r>
          <w:r>
            <w:rPr>
              <w:rFonts w:hint="default" w:ascii="Times New Roman" w:hAnsi="Times New Roman" w:eastAsia="宋体" w:cs="Times New Roman"/>
              <w:szCs w:val="24"/>
            </w:rPr>
            <w:fldChar w:fldCharType="separate"/>
          </w:r>
          <w:r>
            <w:rPr>
              <w:rFonts w:hint="eastAsia"/>
            </w:rPr>
            <w:t>5.1.2</w:t>
          </w:r>
          <w:r>
            <w:t>排放量的计算</w:t>
          </w:r>
          <w:r>
            <w:tab/>
          </w:r>
          <w:r>
            <w:fldChar w:fldCharType="begin"/>
          </w:r>
          <w:r>
            <w:instrText xml:space="preserve"> PAGEREF _Toc32596 \h </w:instrText>
          </w:r>
          <w:r>
            <w:fldChar w:fldCharType="separate"/>
          </w:r>
          <w:r>
            <w:t>10</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_Toc6552 </w:instrText>
          </w:r>
          <w:r>
            <w:rPr>
              <w:rFonts w:hint="default" w:ascii="Times New Roman" w:hAnsi="Times New Roman" w:eastAsia="宋体" w:cs="Times New Roman"/>
              <w:szCs w:val="24"/>
            </w:rPr>
            <w:fldChar w:fldCharType="separate"/>
          </w:r>
          <w:r>
            <w:rPr>
              <w:rFonts w:hint="eastAsia"/>
            </w:rPr>
            <w:t>5.1.3</w:t>
          </w:r>
          <w:r>
            <w:t>量化方法选取原则</w:t>
          </w:r>
          <w:r>
            <w:tab/>
          </w:r>
          <w:r>
            <w:fldChar w:fldCharType="begin"/>
          </w:r>
          <w:r>
            <w:instrText xml:space="preserve"> PAGEREF _Toc6552 \h </w:instrText>
          </w:r>
          <w:r>
            <w:fldChar w:fldCharType="separate"/>
          </w:r>
          <w:r>
            <w:t>10</w:t>
          </w:r>
          <w:r>
            <w:fldChar w:fldCharType="end"/>
          </w:r>
          <w:r>
            <w:rPr>
              <w:rFonts w:hint="default" w:ascii="Times New Roman" w:hAnsi="Times New Roman" w:eastAsia="宋体" w:cs="Times New Roman"/>
              <w:szCs w:val="24"/>
            </w:rPr>
            <w:fldChar w:fldCharType="end"/>
          </w:r>
        </w:p>
        <w:p>
          <w:pPr>
            <w:pStyle w:val="5"/>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_Toc20645 </w:instrText>
          </w:r>
          <w:r>
            <w:rPr>
              <w:rFonts w:hint="default" w:ascii="Times New Roman" w:hAnsi="Times New Roman" w:eastAsia="宋体" w:cs="Times New Roman"/>
              <w:szCs w:val="24"/>
            </w:rPr>
            <w:fldChar w:fldCharType="separate"/>
          </w:r>
          <w:r>
            <w:rPr>
              <w:rFonts w:hint="eastAsia"/>
            </w:rPr>
            <w:t>5.1.4</w:t>
          </w:r>
          <w:r>
            <w:t>量化方法变更说明</w:t>
          </w:r>
          <w:r>
            <w:tab/>
          </w:r>
          <w:r>
            <w:fldChar w:fldCharType="begin"/>
          </w:r>
          <w:r>
            <w:instrText xml:space="preserve"> PAGEREF _Toc20645 \h </w:instrText>
          </w:r>
          <w:r>
            <w:fldChar w:fldCharType="separate"/>
          </w:r>
          <w:r>
            <w:t>11</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_Toc28579 </w:instrText>
          </w:r>
          <w:r>
            <w:rPr>
              <w:rFonts w:hint="default" w:ascii="Times New Roman" w:hAnsi="Times New Roman" w:eastAsia="宋体" w:cs="Times New Roman"/>
              <w:szCs w:val="24"/>
            </w:rPr>
            <w:fldChar w:fldCharType="separate"/>
          </w:r>
          <w:r>
            <w:rPr>
              <w:rFonts w:hint="eastAsia"/>
            </w:rPr>
            <w:t>5.2</w:t>
          </w:r>
          <w:r>
            <w:t>排放系数选用说明</w:t>
          </w:r>
          <w:r>
            <w:tab/>
          </w:r>
          <w:r>
            <w:fldChar w:fldCharType="begin"/>
          </w:r>
          <w:r>
            <w:instrText xml:space="preserve"> PAGEREF _Toc28579 \h </w:instrText>
          </w:r>
          <w:r>
            <w:fldChar w:fldCharType="separate"/>
          </w:r>
          <w:r>
            <w:t>11</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_Toc1328 </w:instrText>
          </w:r>
          <w:r>
            <w:rPr>
              <w:rFonts w:hint="default" w:ascii="Times New Roman" w:hAnsi="Times New Roman" w:eastAsia="宋体" w:cs="Times New Roman"/>
              <w:szCs w:val="24"/>
            </w:rPr>
            <w:fldChar w:fldCharType="separate"/>
          </w:r>
          <w:r>
            <w:rPr>
              <w:rFonts w:hint="eastAsia"/>
            </w:rPr>
            <w:t>5.3</w:t>
          </w:r>
          <w:r>
            <w:t>不确定性的评估与降低</w:t>
          </w:r>
          <w:r>
            <w:tab/>
          </w:r>
          <w:r>
            <w:fldChar w:fldCharType="begin"/>
          </w:r>
          <w:r>
            <w:instrText xml:space="preserve"> PAGEREF _Toc1328 \h </w:instrText>
          </w:r>
          <w:r>
            <w:fldChar w:fldCharType="separate"/>
          </w:r>
          <w:r>
            <w:t>11</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_Toc28707 </w:instrText>
          </w:r>
          <w:r>
            <w:rPr>
              <w:rFonts w:hint="default" w:ascii="Times New Roman" w:hAnsi="Times New Roman" w:eastAsia="宋体" w:cs="Times New Roman"/>
              <w:szCs w:val="24"/>
            </w:rPr>
            <w:fldChar w:fldCharType="separate"/>
          </w:r>
          <w:r>
            <w:rPr>
              <w:rFonts w:hint="eastAsia"/>
            </w:rPr>
            <w:t>六、本报告的查证状态和保证等级</w:t>
          </w:r>
          <w:r>
            <w:tab/>
          </w:r>
          <w:r>
            <w:fldChar w:fldCharType="begin"/>
          </w:r>
          <w:r>
            <w:instrText xml:space="preserve"> PAGEREF _Toc28707 \h </w:instrText>
          </w:r>
          <w:r>
            <w:fldChar w:fldCharType="separate"/>
          </w:r>
          <w:r>
            <w:t>14</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_Toc25320 </w:instrText>
          </w:r>
          <w:r>
            <w:rPr>
              <w:rFonts w:hint="default" w:ascii="Times New Roman" w:hAnsi="Times New Roman" w:eastAsia="宋体" w:cs="Times New Roman"/>
              <w:szCs w:val="24"/>
            </w:rPr>
            <w:fldChar w:fldCharType="separate"/>
          </w:r>
          <w:r>
            <w:rPr>
              <w:rFonts w:hint="eastAsia"/>
            </w:rPr>
            <w:t>6.1内部查证</w:t>
          </w:r>
          <w:r>
            <w:tab/>
          </w:r>
          <w:r>
            <w:fldChar w:fldCharType="begin"/>
          </w:r>
          <w:r>
            <w:instrText xml:space="preserve"> PAGEREF _Toc25320 \h </w:instrText>
          </w:r>
          <w:r>
            <w:fldChar w:fldCharType="separate"/>
          </w:r>
          <w:r>
            <w:t>14</w:t>
          </w:r>
          <w:r>
            <w:fldChar w:fldCharType="end"/>
          </w:r>
          <w:r>
            <w:rPr>
              <w:rFonts w:hint="default" w:ascii="Times New Roman" w:hAnsi="Times New Roman" w:eastAsia="宋体" w:cs="Times New Roman"/>
              <w:szCs w:val="24"/>
            </w:rPr>
            <w:fldChar w:fldCharType="end"/>
          </w:r>
        </w:p>
        <w:p>
          <w:pPr>
            <w:pStyle w:val="9"/>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_Toc3180 </w:instrText>
          </w:r>
          <w:r>
            <w:rPr>
              <w:rFonts w:hint="default" w:ascii="Times New Roman" w:hAnsi="Times New Roman" w:eastAsia="宋体" w:cs="Times New Roman"/>
              <w:szCs w:val="24"/>
            </w:rPr>
            <w:fldChar w:fldCharType="separate"/>
          </w:r>
          <w:r>
            <w:rPr>
              <w:rFonts w:hint="eastAsia"/>
            </w:rPr>
            <w:t>6.2外部查证</w:t>
          </w:r>
          <w:r>
            <w:tab/>
          </w:r>
          <w:r>
            <w:fldChar w:fldCharType="begin"/>
          </w:r>
          <w:r>
            <w:instrText xml:space="preserve"> PAGEREF _Toc3180 \h </w:instrText>
          </w:r>
          <w:r>
            <w:fldChar w:fldCharType="separate"/>
          </w:r>
          <w:r>
            <w:t>14</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_Toc29786 </w:instrText>
          </w:r>
          <w:r>
            <w:rPr>
              <w:rFonts w:hint="default" w:ascii="Times New Roman" w:hAnsi="Times New Roman" w:eastAsia="宋体" w:cs="Times New Roman"/>
              <w:szCs w:val="24"/>
            </w:rPr>
            <w:fldChar w:fldCharType="separate"/>
          </w:r>
          <w:r>
            <w:rPr>
              <w:rFonts w:hint="eastAsia"/>
            </w:rPr>
            <w:t>七、报告的发布与管理</w:t>
          </w:r>
          <w:r>
            <w:tab/>
          </w:r>
          <w:r>
            <w:fldChar w:fldCharType="begin"/>
          </w:r>
          <w:r>
            <w:instrText xml:space="preserve"> PAGEREF _Toc29786 \h </w:instrText>
          </w:r>
          <w:r>
            <w:fldChar w:fldCharType="separate"/>
          </w:r>
          <w:r>
            <w:t>15</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_Toc4433 </w:instrText>
          </w:r>
          <w:r>
            <w:rPr>
              <w:rFonts w:hint="default" w:ascii="Times New Roman" w:hAnsi="Times New Roman" w:eastAsia="宋体" w:cs="Times New Roman"/>
              <w:szCs w:val="24"/>
            </w:rPr>
            <w:fldChar w:fldCharType="separate"/>
          </w:r>
          <w:r>
            <w:rPr>
              <w:rFonts w:hint="eastAsia"/>
            </w:rPr>
            <w:t>八、参考文献</w:t>
          </w:r>
          <w:r>
            <w:tab/>
          </w:r>
          <w:r>
            <w:fldChar w:fldCharType="begin"/>
          </w:r>
          <w:r>
            <w:instrText xml:space="preserve"> PAGEREF _Toc4433 \h </w:instrText>
          </w:r>
          <w:r>
            <w:fldChar w:fldCharType="separate"/>
          </w:r>
          <w:r>
            <w:t>16</w:t>
          </w:r>
          <w:r>
            <w:fldChar w:fldCharType="end"/>
          </w:r>
          <w:r>
            <w:rPr>
              <w:rFonts w:hint="default" w:ascii="Times New Roman" w:hAnsi="Times New Roman" w:eastAsia="宋体" w:cs="Times New Roman"/>
              <w:szCs w:val="24"/>
            </w:rPr>
            <w:fldChar w:fldCharType="end"/>
          </w:r>
        </w:p>
        <w:p>
          <w:pPr>
            <w:pStyle w:val="8"/>
            <w:tabs>
              <w:tab w:val="right" w:leader="dot" w:pos="8221"/>
            </w:tabs>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_Toc30109 </w:instrText>
          </w:r>
          <w:r>
            <w:rPr>
              <w:rFonts w:hint="default" w:ascii="Times New Roman" w:hAnsi="Times New Roman" w:eastAsia="宋体" w:cs="Times New Roman"/>
              <w:szCs w:val="24"/>
            </w:rPr>
            <w:fldChar w:fldCharType="separate"/>
          </w:r>
          <w:r>
            <w:t>附件：</w:t>
          </w:r>
          <w:r>
            <w:rPr>
              <w:rFonts w:hint="eastAsia"/>
            </w:rPr>
            <w:t>广东隆达温室气体排放清册（2</w:t>
          </w:r>
          <w:r>
            <w:t>02</w:t>
          </w:r>
          <w:r>
            <w:rPr>
              <w:rFonts w:hint="eastAsia"/>
            </w:rPr>
            <w:t>3年）</w:t>
          </w:r>
          <w:r>
            <w:tab/>
          </w:r>
          <w:r>
            <w:fldChar w:fldCharType="begin"/>
          </w:r>
          <w:r>
            <w:instrText xml:space="preserve"> PAGEREF _Toc30109 \h </w:instrText>
          </w:r>
          <w:r>
            <w:fldChar w:fldCharType="separate"/>
          </w:r>
          <w:r>
            <w:t>17</w:t>
          </w:r>
          <w:r>
            <w:fldChar w:fldCharType="end"/>
          </w:r>
          <w:r>
            <w:rPr>
              <w:rFonts w:hint="default" w:ascii="Times New Roman" w:hAnsi="Times New Roman" w:eastAsia="宋体" w:cs="Times New Roman"/>
              <w:szCs w:val="24"/>
            </w:rPr>
            <w:fldChar w:fldCharType="end"/>
          </w:r>
        </w:p>
        <w:p>
          <w:pPr>
            <w:spacing w:line="360" w:lineRule="auto"/>
            <w:rPr>
              <w:rFonts w:cs="Times New Roman"/>
              <w:szCs w:val="24"/>
            </w:rPr>
            <w:sectPr>
              <w:headerReference r:id="rId10" w:type="default"/>
              <w:footerReference r:id="rId11" w:type="default"/>
              <w:pgSz w:w="11906" w:h="16838"/>
              <w:pgMar w:top="1417" w:right="1701" w:bottom="1417" w:left="1701" w:header="851" w:footer="992" w:gutter="283"/>
              <w:cols w:space="0" w:num="1"/>
              <w:docGrid w:type="lines" w:linePitch="333" w:charSpace="0"/>
            </w:sectPr>
          </w:pPr>
          <w:r>
            <w:rPr>
              <w:rFonts w:hint="default" w:ascii="Times New Roman" w:hAnsi="Times New Roman" w:eastAsia="宋体" w:cs="Times New Roman"/>
              <w:szCs w:val="24"/>
            </w:rPr>
            <w:fldChar w:fldCharType="end"/>
          </w:r>
        </w:p>
      </w:sdtContent>
    </w:sdt>
    <w:p>
      <w:pPr>
        <w:pStyle w:val="2"/>
      </w:pPr>
      <w:bookmarkStart w:id="5" w:name="_Toc1468"/>
      <w:bookmarkStart w:id="6" w:name="_Toc31894"/>
      <w:r>
        <w:rPr>
          <w:rFonts w:hint="eastAsia"/>
        </w:rPr>
        <w:t>一、组织</w:t>
      </w:r>
      <w:r>
        <w:t>概况</w:t>
      </w:r>
      <w:bookmarkEnd w:id="5"/>
      <w:bookmarkEnd w:id="6"/>
    </w:p>
    <w:p>
      <w:pPr>
        <w:pStyle w:val="3"/>
      </w:pPr>
      <w:bookmarkStart w:id="7" w:name="_Toc5134"/>
      <w:bookmarkStart w:id="8" w:name="_Toc28280"/>
      <w:r>
        <w:rPr>
          <w:rFonts w:hint="eastAsia"/>
        </w:rPr>
        <w:t>1.1公司</w:t>
      </w:r>
      <w:r>
        <w:t>简介</w:t>
      </w:r>
      <w:bookmarkEnd w:id="7"/>
      <w:bookmarkEnd w:id="8"/>
    </w:p>
    <w:p>
      <w:pPr>
        <w:ind w:firstLine="480"/>
      </w:pPr>
      <w:bookmarkStart w:id="9" w:name="_Hlk100401815"/>
      <w:r>
        <w:rPr>
          <w:rFonts w:hint="eastAsia"/>
        </w:rPr>
        <w:t>广东隆达</w:t>
      </w:r>
      <w:bookmarkEnd w:id="9"/>
      <w:r>
        <w:rPr>
          <w:rFonts w:hint="eastAsia"/>
        </w:rPr>
        <w:t>铝业有限公司（以下简称“广东隆达”或“公司”）隶属于立中合金集团（股票代码300428），</w:t>
      </w:r>
      <w:r>
        <w:t>成立于2006年6月，注册资本为2</w:t>
      </w:r>
      <w:r>
        <w:rPr>
          <w:rFonts w:hint="eastAsia"/>
        </w:rPr>
        <w:t>,</w:t>
      </w:r>
      <w:r>
        <w:t>770万</w:t>
      </w:r>
      <w:r>
        <w:rPr>
          <w:rFonts w:hint="eastAsia"/>
        </w:rPr>
        <w:t>美元</w:t>
      </w:r>
      <w:r>
        <w:t>，位于清远市清城区石角镇循环经济产业园西区6号，法人代表：</w:t>
      </w:r>
      <w:r>
        <w:rPr>
          <w:rFonts w:hint="eastAsia"/>
        </w:rPr>
        <w:t>臧立根</w:t>
      </w:r>
      <w:r>
        <w:t>，经营范围：</w:t>
      </w:r>
      <w:r>
        <w:rPr>
          <w:rFonts w:hint="eastAsia"/>
        </w:rPr>
        <w:t>采购公司所需要的原辅材料；生产、加工铸造铝合金、有色金属复合材料及其制品；研究开发铸造铝合金、有色金属复合材料、制品及其生产工艺；废旧金属的回收、加工、循环利用；提供有色金属对外检测服务（不含认证服务）；销售本公司产品（国家限制和禁止类商品除外）</w:t>
      </w:r>
      <w:r>
        <w:t>。</w:t>
      </w:r>
    </w:p>
    <w:p>
      <w:pPr>
        <w:ind w:firstLine="480"/>
        <w:rPr>
          <w:rFonts w:hint="eastAsia"/>
        </w:rPr>
      </w:pPr>
      <w:r>
        <w:rPr>
          <w:rFonts w:hint="eastAsia"/>
          <w:lang w:val="en-US" w:eastAsia="zh-CN"/>
        </w:rPr>
        <w:t>公司</w:t>
      </w:r>
      <w:r>
        <w:rPr>
          <w:rFonts w:hint="eastAsia"/>
        </w:rPr>
        <w:t>秉承“精专细透、致诚服务”质量方针理念，满足长江以南客户群体，以广东地区为中心，面向东本发动机、东风日产、比亚迪、</w:t>
      </w:r>
      <w:bookmarkStart w:id="115" w:name="_GoBack"/>
      <w:r>
        <w:rPr>
          <w:rFonts w:hint="eastAsia"/>
          <w:color w:val="FF0000"/>
        </w:rPr>
        <w:t>日立安斯泰莫（南方据点）</w:t>
      </w:r>
      <w:bookmarkEnd w:id="115"/>
      <w:r>
        <w:rPr>
          <w:rFonts w:hint="eastAsia"/>
        </w:rPr>
        <w:t>、佛山爱信、阿雷斯提、常州利优比、惠州华阳等目标客户市场，以及长江以南、珠三角地区汽车发动机缸盖、缸体、变速箱壳体高韧、高强、高性能汽车结构件等客户铝合金材料的生产和配套服务而投建企业。</w:t>
      </w:r>
    </w:p>
    <w:p>
      <w:pPr>
        <w:ind w:firstLine="480"/>
      </w:pPr>
      <w:r>
        <w:rPr>
          <w:rFonts w:hint="eastAsia"/>
        </w:rPr>
        <w:t>公司自成立17年来，凭借着优质、稳定的产品质量，依托雄厚的技术实力和装备条件，先后通过了《ISO14001环境管理体系》《ISO9001质量管理体系》《IATF 16949汽车行业质量管理体系》《海关AEO高级认证》《ISO50001：2018能源管理体系认证》《ISO45001职业安全卫生认证》《清远市铝基合金材料工程技术研究开发中心》和《广东省高新技术企业》等认证。并获得</w:t>
      </w:r>
      <w:r>
        <w:rPr>
          <w:rFonts w:hint="eastAsia"/>
          <w:lang w:eastAsia="zh-CN"/>
        </w:rPr>
        <w:t>“</w:t>
      </w:r>
      <w:r>
        <w:rPr>
          <w:rFonts w:hint="eastAsia"/>
        </w:rPr>
        <w:t>环境保护诚信企业”“广东省守合同重信用企业”“清远市优秀制造业”荣誉称号，成为工信部全国第七批《绿色工厂企业》。</w:t>
      </w:r>
    </w:p>
    <w:p>
      <w:pPr>
        <w:pStyle w:val="3"/>
      </w:pPr>
      <w:bookmarkStart w:id="10" w:name="_Toc19118"/>
      <w:bookmarkStart w:id="11" w:name="_Toc25359"/>
      <w:r>
        <w:rPr>
          <w:rFonts w:hint="eastAsia"/>
        </w:rPr>
        <w:t>1.2报告周期</w:t>
      </w:r>
      <w:bookmarkEnd w:id="10"/>
      <w:bookmarkEnd w:id="11"/>
    </w:p>
    <w:p>
      <w:pPr>
        <w:ind w:firstLine="480"/>
      </w:pPr>
      <w:r>
        <w:rPr>
          <w:rFonts w:hint="eastAsia"/>
        </w:rPr>
        <w:t>本报告盘查的内容以2023年度1月1日至12月31日的广东隆达组织边界范围内产生的所有温室气体为盘查范围，并作为下年度新报告完成前的引用。</w:t>
      </w:r>
    </w:p>
    <w:p>
      <w:pPr>
        <w:ind w:firstLine="480"/>
      </w:pPr>
      <w:r>
        <w:rPr>
          <w:rFonts w:hint="eastAsia"/>
        </w:rPr>
        <w:t>本次温室气体排放计算和报告适用于广东隆达组织边界，若组织边界发生变更时，须加以适当的说明，说明变更的范围及变更的理由，对本报告进行修正并重新发布。</w:t>
      </w:r>
    </w:p>
    <w:p>
      <w:pPr>
        <w:pStyle w:val="3"/>
      </w:pPr>
      <w:bookmarkStart w:id="12" w:name="_Toc17595"/>
      <w:bookmarkStart w:id="13" w:name="_Toc10624"/>
      <w:r>
        <w:rPr>
          <w:rFonts w:hint="eastAsia"/>
        </w:rPr>
        <w:t>1.3报告编制</w:t>
      </w:r>
      <w:r>
        <w:t>的依据</w:t>
      </w:r>
      <w:bookmarkEnd w:id="12"/>
      <w:bookmarkEnd w:id="13"/>
    </w:p>
    <w:p>
      <w:pPr>
        <w:ind w:firstLine="480"/>
      </w:pPr>
      <w:r>
        <w:rPr>
          <w:rFonts w:hint="eastAsia"/>
        </w:rPr>
        <w:t>本报告依据《ISO 14064第一部分：组织层次上对温室气体排放和清除的量化和报告的规范及指南》标准要求制作。</w:t>
      </w:r>
    </w:p>
    <w:p>
      <w:pPr>
        <w:pStyle w:val="3"/>
      </w:pPr>
      <w:bookmarkStart w:id="14" w:name="_Toc8382"/>
      <w:bookmarkStart w:id="15" w:name="_Toc29885"/>
      <w:r>
        <w:rPr>
          <w:rFonts w:hint="eastAsia"/>
        </w:rPr>
        <w:t>1.4报告编制</w:t>
      </w:r>
      <w:r>
        <w:t>的</w:t>
      </w:r>
      <w:r>
        <w:rPr>
          <w:rFonts w:hint="eastAsia"/>
        </w:rPr>
        <w:t>目的</w:t>
      </w:r>
      <w:bookmarkEnd w:id="14"/>
      <w:bookmarkEnd w:id="15"/>
    </w:p>
    <w:p>
      <w:pPr>
        <w:ind w:firstLine="480"/>
        <w:sectPr>
          <w:footerReference r:id="rId12" w:type="default"/>
          <w:pgSz w:w="11906" w:h="16838"/>
          <w:pgMar w:top="1417" w:right="1701" w:bottom="1417" w:left="1701" w:header="851" w:footer="992" w:gutter="283"/>
          <w:pgNumType w:start="1"/>
          <w:cols w:space="0" w:num="1"/>
          <w:docGrid w:type="lines" w:linePitch="333" w:charSpace="0"/>
        </w:sectPr>
      </w:pPr>
      <w:r>
        <w:rPr>
          <w:rFonts w:hint="eastAsia"/>
        </w:rPr>
        <w:t>展现广东隆达温室气体盘查结果。记录广东隆达温室气体排放，以便于实施查证、验证的需求，以及将来可能涉及到的国内、国际间可能参与的排放信用交易。</w:t>
      </w:r>
    </w:p>
    <w:p>
      <w:pPr>
        <w:pStyle w:val="2"/>
      </w:pPr>
      <w:bookmarkStart w:id="16" w:name="_Toc27773"/>
      <w:bookmarkStart w:id="17" w:name="_Toc27560"/>
      <w:r>
        <w:rPr>
          <w:rFonts w:hint="eastAsia"/>
        </w:rPr>
        <w:t>二、盘查</w:t>
      </w:r>
      <w:r>
        <w:t>边界的设定</w:t>
      </w:r>
      <w:bookmarkEnd w:id="16"/>
      <w:bookmarkEnd w:id="17"/>
    </w:p>
    <w:p>
      <w:pPr>
        <w:pStyle w:val="3"/>
      </w:pPr>
      <w:bookmarkStart w:id="18" w:name="_Toc3519"/>
      <w:bookmarkStart w:id="19" w:name="_Toc328"/>
      <w:r>
        <w:rPr>
          <w:rFonts w:hint="eastAsia"/>
        </w:rPr>
        <w:t>2.1公司</w:t>
      </w:r>
      <w:r>
        <w:t>边界范围</w:t>
      </w:r>
      <w:bookmarkEnd w:id="18"/>
      <w:bookmarkEnd w:id="19"/>
    </w:p>
    <w:p>
      <w:pPr>
        <w:ind w:firstLine="480"/>
        <w:rPr>
          <w:rFonts w:cs="Times New Roman"/>
          <w:szCs w:val="24"/>
        </w:rPr>
      </w:pPr>
      <w:r>
        <w:rPr>
          <w:rFonts w:cs="Times New Roman"/>
          <w:szCs w:val="24"/>
        </w:rPr>
        <w:t>广东隆达铝业有限公司位于清远市清城区石角镇循环经济产业园西区6号</w:t>
      </w:r>
      <w:r>
        <w:rPr>
          <w:rFonts w:hint="eastAsia" w:cs="Times New Roman"/>
          <w:szCs w:val="24"/>
        </w:rPr>
        <w:t>，东北侧为九腌村，东南侧为</w:t>
      </w:r>
      <w:r>
        <w:rPr>
          <w:rFonts w:hint="eastAsia" w:cs="Times New Roman"/>
          <w:szCs w:val="24"/>
          <w:lang w:val="en-US" w:eastAsia="zh-CN"/>
        </w:rPr>
        <w:t>G240国道</w:t>
      </w:r>
      <w:r>
        <w:rPr>
          <w:rFonts w:hint="eastAsia" w:cs="Times New Roman"/>
          <w:szCs w:val="24"/>
        </w:rPr>
        <w:t>，隔道路为彩涛</w:t>
      </w:r>
      <w:r>
        <w:rPr>
          <w:rFonts w:hint="eastAsia" w:cs="Times New Roman"/>
          <w:szCs w:val="24"/>
          <w:lang w:eastAsia="zh-CN"/>
        </w:rPr>
        <w:t>（</w:t>
      </w:r>
      <w:r>
        <w:rPr>
          <w:rFonts w:hint="eastAsia" w:cs="Times New Roman"/>
          <w:szCs w:val="24"/>
          <w:lang w:val="en-US" w:eastAsia="zh-CN"/>
        </w:rPr>
        <w:t>清远）</w:t>
      </w:r>
      <w:r>
        <w:rPr>
          <w:rFonts w:hint="eastAsia" w:cs="Times New Roman"/>
          <w:szCs w:val="24"/>
        </w:rPr>
        <w:t>涂料有限公司</w:t>
      </w:r>
      <w:r>
        <w:rPr>
          <w:rFonts w:hint="eastAsia" w:cs="Times New Roman"/>
          <w:szCs w:val="24"/>
          <w:lang w:eastAsia="zh-CN"/>
        </w:rPr>
        <w:t>、</w:t>
      </w:r>
      <w:r>
        <w:rPr>
          <w:rFonts w:hint="eastAsia" w:cs="Times New Roman"/>
          <w:szCs w:val="24"/>
        </w:rPr>
        <w:t>清远市莱科新材料有限公司等企业，西南侧为新村，西北侧为闲置空地。</w:t>
      </w:r>
    </w:p>
    <w:p>
      <w:pPr>
        <w:pStyle w:val="46"/>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eastAsia" w:eastAsiaTheme="minorEastAsia"/>
          <w:color w:val="000000" w:themeColor="text1"/>
          <w:sz w:val="21"/>
          <w:szCs w:val="21"/>
          <w:lang w:val="en-US" w:eastAsia="zh-CN"/>
          <w14:textFill>
            <w14:solidFill>
              <w14:schemeClr w14:val="tx1"/>
            </w14:solidFill>
          </w14:textFill>
        </w:rPr>
      </w:pPr>
      <w:r>
        <w:drawing>
          <wp:inline distT="0" distB="0" distL="114300" distR="114300">
            <wp:extent cx="5215890" cy="3714115"/>
            <wp:effectExtent l="0" t="0" r="381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215890" cy="3714115"/>
                    </a:xfrm>
                    <a:prstGeom prst="rect">
                      <a:avLst/>
                    </a:prstGeom>
                    <a:noFill/>
                    <a:ln>
                      <a:noFill/>
                    </a:ln>
                  </pic:spPr>
                </pic:pic>
              </a:graphicData>
            </a:graphic>
          </wp:inline>
        </w:drawing>
      </w:r>
    </w:p>
    <w:p>
      <w:pPr>
        <w:pStyle w:val="46"/>
        <w:keepNext w:val="0"/>
        <w:keepLines w:val="0"/>
        <w:pageBreakBefore w:val="0"/>
        <w:widowControl/>
        <w:kinsoku/>
        <w:wordWrap/>
        <w:overflowPunct/>
        <w:topLinePunct w:val="0"/>
        <w:autoSpaceDE/>
        <w:autoSpaceDN/>
        <w:bidi w:val="0"/>
        <w:adjustRightInd/>
        <w:snapToGrid/>
        <w:spacing w:beforeLines="0" w:afterLines="0" w:line="360" w:lineRule="auto"/>
        <w:textAlignment w:val="auto"/>
        <w:rPr>
          <w:rFonts w:hint="default" w:eastAsiaTheme="minorEastAsia"/>
          <w:color w:val="000000" w:themeColor="text1"/>
          <w:sz w:val="21"/>
          <w:szCs w:val="21"/>
          <w:lang w:val="en-US" w:eastAsia="zh-CN"/>
          <w14:textFill>
            <w14:solidFill>
              <w14:schemeClr w14:val="tx1"/>
            </w14:solidFill>
          </w14:textFill>
        </w:rPr>
      </w:pPr>
      <w:r>
        <w:rPr>
          <w:rFonts w:hint="eastAsia" w:eastAsiaTheme="minorEastAsia"/>
          <w:color w:val="000000" w:themeColor="text1"/>
          <w:sz w:val="21"/>
          <w:szCs w:val="21"/>
          <w:lang w:val="en-US" w:eastAsia="zh-CN"/>
          <w14:textFill>
            <w14:solidFill>
              <w14:schemeClr w14:val="tx1"/>
            </w14:solidFill>
          </w14:textFill>
        </w:rPr>
        <w:t>图1 广东隆达铝业有限公司组织边界图</w:t>
      </w:r>
    </w:p>
    <w:p>
      <w:pPr>
        <w:pStyle w:val="3"/>
      </w:pPr>
      <w:bookmarkStart w:id="20" w:name="_Toc30082"/>
      <w:bookmarkStart w:id="21" w:name="_Toc32742"/>
      <w:r>
        <w:rPr>
          <w:rFonts w:hint="eastAsia"/>
        </w:rPr>
        <w:t>2.2组织</w:t>
      </w:r>
      <w:r>
        <w:t>边界及变更说明</w:t>
      </w:r>
      <w:bookmarkEnd w:id="20"/>
      <w:bookmarkEnd w:id="21"/>
    </w:p>
    <w:p>
      <w:pPr>
        <w:ind w:firstLine="480"/>
        <w:rPr>
          <w:rFonts w:hint="eastAsia"/>
        </w:rPr>
      </w:pPr>
      <w:r>
        <w:rPr>
          <w:rFonts w:hint="eastAsia"/>
        </w:rPr>
        <w:t>本报告组织边界为清远市清城区石角镇循环经济产业园西区6号，盘查的温室气体排放量亦百分之百属于广东隆达铝业有限公司。</w:t>
      </w:r>
    </w:p>
    <w:p>
      <w:pPr>
        <w:pStyle w:val="3"/>
      </w:pPr>
      <w:bookmarkStart w:id="22" w:name="_Toc6492"/>
      <w:bookmarkStart w:id="23" w:name="_Toc28914"/>
      <w:r>
        <w:rPr>
          <w:rFonts w:hint="eastAsia"/>
        </w:rPr>
        <w:t>2.3报告边界及变更说明</w:t>
      </w:r>
      <w:bookmarkEnd w:id="22"/>
      <w:bookmarkEnd w:id="23"/>
    </w:p>
    <w:p>
      <w:pPr>
        <w:ind w:firstLine="480"/>
        <w:rPr>
          <w:rFonts w:cs="Times New Roman" w:asciiTheme="minorEastAsia" w:hAnsiTheme="minorEastAsia"/>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t>广东隆达的报告边界包含直接排</w:t>
      </w:r>
      <w:r>
        <w:rPr>
          <w:rFonts w:hint="default" w:ascii="Times New Roman" w:hAnsi="Times New Roman" w:cs="Times New Roman"/>
          <w:color w:val="000000" w:themeColor="text1"/>
          <w:szCs w:val="24"/>
          <w14:textFill>
            <w14:solidFill>
              <w14:schemeClr w14:val="tx1"/>
            </w14:solidFill>
          </w14:textFill>
        </w:rPr>
        <w:t>放源（类别 1）和间接排放源，能源间接（类别 2）为外购电力和热力，交通运输间接排放源（类别3）包括上下游货物（原辅材料、废弃物、产品）运输/分配、公司员工出差、公司员工通勤，组织使用的产品间接排放源（类别4）包括原材料提取制造、废弃物处置。其他间接排放源（如：客户和访客的来访；与使用组织的产品有关以及其他来源），由于排放源是由其他组织所拥有或控制，活动数据及排放系数不易获得且不确定性高，因此，本报告只作定性描述，不做量化。具体温室气体排放源状况见本报告的第三部分。</w:t>
      </w:r>
    </w:p>
    <w:p>
      <w:pPr>
        <w:ind w:firstLine="480"/>
      </w:pPr>
      <w:r>
        <w:rPr>
          <w:rFonts w:hint="eastAsia" w:cs="Times New Roman" w:asciiTheme="minorEastAsia" w:hAnsiTheme="minorEastAsia"/>
          <w:color w:val="000000" w:themeColor="text1"/>
          <w:szCs w:val="24"/>
          <w14:textFill>
            <w14:solidFill>
              <w14:schemeClr w14:val="tx1"/>
            </w14:solidFill>
          </w14:textFill>
        </w:rPr>
        <w:t>广东隆达</w:t>
      </w:r>
      <w:r>
        <w:rPr>
          <w:rFonts w:hint="eastAsia"/>
        </w:rPr>
        <w:t>报告边界若有变动时，本报告将一并进行修正并重新发布。</w:t>
      </w:r>
    </w:p>
    <w:p>
      <w:pPr>
        <w:pStyle w:val="3"/>
      </w:pPr>
      <w:bookmarkStart w:id="24" w:name="_Toc20907"/>
      <w:bookmarkStart w:id="25" w:name="_Toc26230"/>
      <w:r>
        <w:rPr>
          <w:rFonts w:hint="eastAsia"/>
        </w:rPr>
        <w:t>2.4排除门槛</w:t>
      </w:r>
      <w:bookmarkEnd w:id="24"/>
      <w:bookmarkEnd w:id="25"/>
    </w:p>
    <w:p>
      <w:pPr>
        <w:ind w:firstLine="480"/>
        <w:rPr>
          <w:rFonts w:cs="Times New Roman" w:asciiTheme="minorEastAsia" w:hAnsiTheme="minorEastAsia"/>
          <w:color w:val="000000" w:themeColor="text1"/>
          <w:szCs w:val="24"/>
          <w14:textFill>
            <w14:solidFill>
              <w14:schemeClr w14:val="tx1"/>
            </w14:solidFill>
          </w14:textFill>
        </w:rPr>
      </w:pPr>
      <w:r>
        <w:rPr>
          <w:rFonts w:hint="eastAsia" w:cs="Times New Roman" w:asciiTheme="minorEastAsia" w:hAnsiTheme="minorEastAsia"/>
          <w:color w:val="000000" w:themeColor="text1"/>
          <w:szCs w:val="24"/>
          <w14:textFill>
            <w14:solidFill>
              <w14:schemeClr w14:val="tx1"/>
            </w14:solidFill>
          </w14:textFill>
        </w:rPr>
        <w:t>广东隆达温室气体盘查作业的排除门槛</w:t>
      </w:r>
      <w:r>
        <w:rPr>
          <w:rFonts w:cs="Times New Roman"/>
          <w:color w:val="000000" w:themeColor="text1"/>
          <w:szCs w:val="24"/>
          <w14:textFill>
            <w14:solidFill>
              <w14:schemeClr w14:val="tx1"/>
            </w14:solidFill>
          </w14:textFill>
        </w:rPr>
        <w:t>设定为1%，当单一排放源的排放量小于全厂排放量1%时，之后的盘查作业将排除该排放源。所有被排除排放源之排放量总和不大于总排放量5%。</w:t>
      </w:r>
    </w:p>
    <w:p>
      <w:pPr>
        <w:pStyle w:val="3"/>
      </w:pPr>
      <w:bookmarkStart w:id="26" w:name="_Toc15835"/>
      <w:bookmarkStart w:id="27" w:name="_Toc23898"/>
      <w:r>
        <w:rPr>
          <w:rFonts w:hint="eastAsia"/>
        </w:rPr>
        <w:t>2.5实质性说明</w:t>
      </w:r>
      <w:bookmarkEnd w:id="26"/>
      <w:bookmarkEnd w:id="27"/>
    </w:p>
    <w:p>
      <w:pPr>
        <w:ind w:firstLine="480"/>
      </w:pPr>
      <w:r>
        <w:rPr>
          <w:rFonts w:hint="eastAsia"/>
        </w:rPr>
        <w:t>根据ISO 14064-1标准要求，以及本报告的发布对象、将来预期之用途，广东隆达温室气体盘查作业的实质性设定为5%。</w:t>
      </w:r>
    </w:p>
    <w:p>
      <w:pPr>
        <w:ind w:firstLine="480"/>
        <w:sectPr>
          <w:pgSz w:w="11906" w:h="16838"/>
          <w:pgMar w:top="1417" w:right="1701" w:bottom="1417" w:left="1701" w:header="851" w:footer="992" w:gutter="283"/>
          <w:cols w:space="0" w:num="1"/>
          <w:docGrid w:type="lines" w:linePitch="333" w:charSpace="0"/>
        </w:sectPr>
      </w:pPr>
    </w:p>
    <w:p>
      <w:pPr>
        <w:pStyle w:val="2"/>
      </w:pPr>
      <w:bookmarkStart w:id="28" w:name="_Toc395"/>
      <w:bookmarkStart w:id="29" w:name="_Toc5223"/>
      <w:r>
        <w:rPr>
          <w:rFonts w:hint="eastAsia"/>
        </w:rPr>
        <w:t>三、温室气体</w:t>
      </w:r>
      <w:r>
        <w:t>排放计算</w:t>
      </w:r>
      <w:bookmarkEnd w:id="28"/>
      <w:bookmarkEnd w:id="29"/>
    </w:p>
    <w:p>
      <w:pPr>
        <w:pStyle w:val="3"/>
      </w:pPr>
      <w:bookmarkStart w:id="30" w:name="_Toc14629"/>
      <w:bookmarkStart w:id="31" w:name="_Toc17360"/>
      <w:r>
        <w:rPr>
          <w:rFonts w:hint="eastAsia"/>
        </w:rPr>
        <w:t>3.1温室</w:t>
      </w:r>
      <w:r>
        <w:t>气体类型</w:t>
      </w:r>
      <w:bookmarkEnd w:id="30"/>
      <w:bookmarkEnd w:id="31"/>
    </w:p>
    <w:p>
      <w:pPr>
        <w:ind w:firstLine="480"/>
      </w:pPr>
      <w:r>
        <w:rPr>
          <w:rFonts w:hint="eastAsia"/>
        </w:rPr>
        <w:t>本报告中计算的温室气体种类包括ISO 14064-1中定义的7种温室气体：二氧化碳（CO</w:t>
      </w:r>
      <w:r>
        <w:rPr>
          <w:rFonts w:hint="eastAsia"/>
          <w:vertAlign w:val="subscript"/>
        </w:rPr>
        <w:t>2</w:t>
      </w:r>
      <w:r>
        <w:rPr>
          <w:rFonts w:hint="eastAsia"/>
        </w:rPr>
        <w:t>）、甲烷（CH</w:t>
      </w:r>
      <w:r>
        <w:rPr>
          <w:rFonts w:hint="eastAsia"/>
          <w:vertAlign w:val="subscript"/>
        </w:rPr>
        <w:t>4</w:t>
      </w:r>
      <w:r>
        <w:rPr>
          <w:rFonts w:hint="eastAsia"/>
        </w:rPr>
        <w:t>）、氧化亚氮（N</w:t>
      </w:r>
      <w:r>
        <w:rPr>
          <w:rFonts w:hint="eastAsia"/>
          <w:vertAlign w:val="subscript"/>
        </w:rPr>
        <w:t>2</w:t>
      </w:r>
      <w:r>
        <w:rPr>
          <w:rFonts w:hint="eastAsia"/>
        </w:rPr>
        <w:t>O）、氢氟碳化物（HFCs）、全氟化合物（PFCS）、六氟化硫（SF</w:t>
      </w:r>
      <w:r>
        <w:rPr>
          <w:rFonts w:hint="eastAsia"/>
          <w:vertAlign w:val="subscript"/>
        </w:rPr>
        <w:t>6</w:t>
      </w:r>
      <w:r>
        <w:rPr>
          <w:rFonts w:hint="eastAsia"/>
        </w:rPr>
        <w:t>）和三氟化氮（NF</w:t>
      </w:r>
      <w:r>
        <w:rPr>
          <w:rFonts w:hint="eastAsia"/>
          <w:vertAlign w:val="subscript"/>
        </w:rPr>
        <w:t>3</w:t>
      </w:r>
      <w:r>
        <w:rPr>
          <w:rFonts w:hint="eastAsia"/>
        </w:rPr>
        <w:t>）排放。本次核查产生的温室气体包括：二氧化碳（CO</w:t>
      </w:r>
      <w:r>
        <w:rPr>
          <w:rFonts w:hint="eastAsia"/>
          <w:vertAlign w:val="subscript"/>
        </w:rPr>
        <w:t>2</w:t>
      </w:r>
      <w:r>
        <w:rPr>
          <w:rFonts w:hint="eastAsia"/>
        </w:rPr>
        <w:t>）、甲烷（CH</w:t>
      </w:r>
      <w:r>
        <w:rPr>
          <w:rFonts w:hint="eastAsia"/>
          <w:vertAlign w:val="subscript"/>
        </w:rPr>
        <w:t>4</w:t>
      </w:r>
      <w:r>
        <w:rPr>
          <w:rFonts w:hint="eastAsia"/>
        </w:rPr>
        <w:t>）、氧化亚氮（N</w:t>
      </w:r>
      <w:r>
        <w:rPr>
          <w:rFonts w:hint="eastAsia"/>
          <w:vertAlign w:val="subscript"/>
        </w:rPr>
        <w:t>2</w:t>
      </w:r>
      <w:r>
        <w:rPr>
          <w:rFonts w:hint="eastAsia"/>
        </w:rPr>
        <w:t>O）、氢氟碳化物（HFCs）四种。</w:t>
      </w:r>
    </w:p>
    <w:p>
      <w:pPr>
        <w:pStyle w:val="3"/>
      </w:pPr>
      <w:bookmarkStart w:id="32" w:name="_Toc9382"/>
      <w:bookmarkStart w:id="33" w:name="_Toc21552"/>
      <w:r>
        <w:rPr>
          <w:rFonts w:hint="eastAsia"/>
        </w:rPr>
        <w:t>3.2直接温室气体排放说明（类别1）</w:t>
      </w:r>
      <w:bookmarkEnd w:id="32"/>
      <w:bookmarkEnd w:id="33"/>
    </w:p>
    <w:p>
      <w:pPr>
        <w:pStyle w:val="4"/>
      </w:pPr>
      <w:bookmarkStart w:id="34" w:name="_Toc28324"/>
      <w:r>
        <w:rPr>
          <w:rFonts w:hint="eastAsia"/>
        </w:rPr>
        <w:t>3.2.1直接温室气体排放源</w:t>
      </w:r>
      <w:bookmarkEnd w:id="34"/>
    </w:p>
    <w:p>
      <w:pPr>
        <w:ind w:firstLine="480"/>
      </w:pPr>
      <w:r>
        <w:rPr>
          <w:rFonts w:hint="eastAsia"/>
        </w:rPr>
        <w:t>直接温室气体排放源主要包括固定燃烧排放、生产用移动</w:t>
      </w:r>
      <w:r>
        <w:t>设备</w:t>
      </w:r>
      <w:r>
        <w:rPr>
          <w:rFonts w:hint="eastAsia"/>
        </w:rPr>
        <w:t>燃烧</w:t>
      </w:r>
      <w:r>
        <w:t>排放、生产过程排放</w:t>
      </w:r>
      <w:r>
        <w:rPr>
          <w:rFonts w:hint="eastAsia"/>
        </w:rPr>
        <w:t>等。广东隆达直接温室气体排放源主要</w:t>
      </w:r>
      <w:r>
        <w:t>为</w:t>
      </w:r>
      <w:r>
        <w:rPr>
          <w:rFonts w:hint="eastAsia"/>
        </w:rPr>
        <w:t>熔炼炉的天然气、乙炔焊接工序用的</w:t>
      </w:r>
      <w:r>
        <w:t>乙炔、</w:t>
      </w:r>
      <w:r>
        <w:rPr>
          <w:rFonts w:hint="eastAsia"/>
        </w:rPr>
        <w:t>液化煤气灶具使用</w:t>
      </w:r>
      <w:r>
        <w:t>的</w:t>
      </w:r>
      <w:r>
        <w:rPr>
          <w:rFonts w:hint="eastAsia"/>
        </w:rPr>
        <w:t>液化煤气</w:t>
      </w:r>
      <w:r>
        <w:t>、公务车使用的汽油</w:t>
      </w:r>
      <w:r>
        <w:rPr>
          <w:rFonts w:hint="eastAsia"/>
        </w:rPr>
        <w:t>、</w:t>
      </w:r>
      <w:r>
        <w:t>叉车使用的柴油等</w:t>
      </w:r>
      <w:r>
        <w:rPr>
          <w:rFonts w:hint="eastAsia"/>
        </w:rPr>
        <w:t>，</w:t>
      </w:r>
      <w:r>
        <w:t>详见下表</w:t>
      </w:r>
      <w:r>
        <w:rPr>
          <w:rFonts w:hint="eastAsia"/>
        </w:rPr>
        <w:t>。</w:t>
      </w:r>
    </w:p>
    <w:p>
      <w:pPr>
        <w:pStyle w:val="20"/>
        <w:numPr>
          <w:ilvl w:val="0"/>
          <w:numId w:val="2"/>
        </w:numPr>
        <w:ind w:left="-142" w:leftChars="-59" w:firstLine="0" w:firstLineChars="0"/>
        <w:jc w:val="center"/>
      </w:pPr>
      <w:r>
        <w:rPr>
          <w:rFonts w:hint="eastAsia"/>
        </w:rPr>
        <w:t>直接温室气体排放源</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82"/>
        <w:gridCol w:w="2275"/>
        <w:gridCol w:w="2115"/>
        <w:gridCol w:w="2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vAlign w:val="center"/>
          </w:tcPr>
          <w:p>
            <w:pPr>
              <w:spacing w:line="240" w:lineRule="auto"/>
              <w:ind w:firstLine="0" w:firstLineChars="0"/>
              <w:jc w:val="center"/>
              <w:rPr>
                <w:rFonts w:cs="Times New Roman"/>
                <w:b/>
                <w:sz w:val="21"/>
                <w:szCs w:val="21"/>
              </w:rPr>
            </w:pPr>
            <w:r>
              <w:rPr>
                <w:rFonts w:cs="Times New Roman"/>
                <w:b/>
                <w:sz w:val="21"/>
                <w:szCs w:val="21"/>
              </w:rPr>
              <w:t>序号</w:t>
            </w:r>
          </w:p>
        </w:tc>
        <w:tc>
          <w:tcPr>
            <w:tcW w:w="1374" w:type="pct"/>
            <w:vAlign w:val="center"/>
          </w:tcPr>
          <w:p>
            <w:pPr>
              <w:spacing w:line="240" w:lineRule="auto"/>
              <w:ind w:firstLine="0" w:firstLineChars="0"/>
              <w:jc w:val="center"/>
              <w:rPr>
                <w:rFonts w:cs="Times New Roman"/>
                <w:b/>
                <w:sz w:val="21"/>
                <w:szCs w:val="21"/>
              </w:rPr>
            </w:pPr>
            <w:r>
              <w:rPr>
                <w:rFonts w:cs="Times New Roman"/>
                <w:b/>
                <w:bCs/>
                <w:color w:val="000000"/>
                <w:kern w:val="0"/>
                <w:sz w:val="21"/>
                <w:szCs w:val="21"/>
                <w:lang w:bidi="ar"/>
              </w:rPr>
              <w:t>对应活动/设施</w:t>
            </w:r>
          </w:p>
        </w:tc>
        <w:tc>
          <w:tcPr>
            <w:tcW w:w="1277" w:type="pct"/>
            <w:vAlign w:val="center"/>
          </w:tcPr>
          <w:p>
            <w:pPr>
              <w:spacing w:line="240" w:lineRule="auto"/>
              <w:ind w:firstLine="0" w:firstLineChars="0"/>
              <w:jc w:val="center"/>
              <w:rPr>
                <w:rFonts w:cs="Times New Roman"/>
                <w:b/>
                <w:sz w:val="21"/>
                <w:szCs w:val="21"/>
              </w:rPr>
            </w:pPr>
            <w:r>
              <w:rPr>
                <w:rFonts w:cs="Times New Roman"/>
                <w:b/>
                <w:bCs/>
                <w:color w:val="000000"/>
                <w:kern w:val="0"/>
                <w:sz w:val="21"/>
                <w:szCs w:val="21"/>
                <w:lang w:bidi="ar"/>
              </w:rPr>
              <w:t>排放源</w:t>
            </w:r>
          </w:p>
        </w:tc>
        <w:tc>
          <w:tcPr>
            <w:tcW w:w="1754" w:type="pct"/>
            <w:vAlign w:val="center"/>
          </w:tcPr>
          <w:p>
            <w:pPr>
              <w:spacing w:line="240" w:lineRule="auto"/>
              <w:ind w:firstLine="0" w:firstLineChars="0"/>
              <w:jc w:val="center"/>
              <w:rPr>
                <w:rFonts w:cs="Times New Roman"/>
                <w:b/>
                <w:sz w:val="21"/>
                <w:szCs w:val="21"/>
              </w:rPr>
            </w:pPr>
            <w:r>
              <w:rPr>
                <w:rFonts w:cs="Times New Roman"/>
                <w:b/>
                <w:sz w:val="21"/>
                <w:szCs w:val="21"/>
              </w:rPr>
              <w:t>产生的温室气体种类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vAlign w:val="center"/>
          </w:tcPr>
          <w:p>
            <w:pPr>
              <w:spacing w:line="240" w:lineRule="auto"/>
              <w:ind w:firstLine="0" w:firstLineChars="0"/>
              <w:jc w:val="center"/>
              <w:rPr>
                <w:rFonts w:cs="Times New Roman"/>
                <w:sz w:val="21"/>
                <w:szCs w:val="21"/>
              </w:rPr>
            </w:pPr>
            <w:r>
              <w:rPr>
                <w:rFonts w:cs="Times New Roman"/>
                <w:sz w:val="21"/>
                <w:szCs w:val="21"/>
              </w:rPr>
              <w:t>1</w:t>
            </w:r>
          </w:p>
        </w:tc>
        <w:tc>
          <w:tcPr>
            <w:tcW w:w="1374" w:type="pct"/>
            <w:vAlign w:val="center"/>
          </w:tcPr>
          <w:p>
            <w:pPr>
              <w:widowControl/>
              <w:spacing w:line="240" w:lineRule="auto"/>
              <w:ind w:firstLine="0" w:firstLineChars="0"/>
              <w:jc w:val="center"/>
              <w:rPr>
                <w:rFonts w:cs="Times New Roman"/>
                <w:bCs/>
                <w:color w:val="000000"/>
                <w:kern w:val="0"/>
                <w:sz w:val="21"/>
                <w:szCs w:val="21"/>
                <w:lang w:bidi="ar"/>
              </w:rPr>
            </w:pPr>
            <w:r>
              <w:rPr>
                <w:rFonts w:cs="Times New Roman"/>
                <w:bCs/>
                <w:color w:val="000000"/>
                <w:kern w:val="0"/>
                <w:sz w:val="21"/>
                <w:szCs w:val="21"/>
                <w:lang w:bidi="ar"/>
              </w:rPr>
              <w:t>熔炼炉</w:t>
            </w:r>
          </w:p>
        </w:tc>
        <w:tc>
          <w:tcPr>
            <w:tcW w:w="1277" w:type="pct"/>
            <w:vAlign w:val="center"/>
          </w:tcPr>
          <w:p>
            <w:pPr>
              <w:widowControl/>
              <w:spacing w:line="240" w:lineRule="auto"/>
              <w:ind w:firstLine="0" w:firstLineChars="0"/>
              <w:jc w:val="center"/>
              <w:rPr>
                <w:rFonts w:cs="Times New Roman"/>
                <w:bCs/>
                <w:color w:val="000000"/>
                <w:kern w:val="0"/>
                <w:sz w:val="21"/>
                <w:szCs w:val="21"/>
                <w:lang w:bidi="ar"/>
              </w:rPr>
            </w:pPr>
            <w:r>
              <w:rPr>
                <w:rFonts w:cs="Times New Roman"/>
                <w:bCs/>
                <w:color w:val="000000"/>
                <w:kern w:val="0"/>
                <w:sz w:val="21"/>
                <w:szCs w:val="21"/>
                <w:lang w:bidi="ar"/>
              </w:rPr>
              <w:t>天然气</w:t>
            </w:r>
          </w:p>
        </w:tc>
        <w:tc>
          <w:tcPr>
            <w:tcW w:w="1754" w:type="pct"/>
            <w:vAlign w:val="center"/>
          </w:tcPr>
          <w:p>
            <w:pPr>
              <w:spacing w:line="240" w:lineRule="auto"/>
              <w:ind w:firstLine="0" w:firstLineChars="0"/>
              <w:jc w:val="center"/>
              <w:rPr>
                <w:rFonts w:cs="Times New Roman"/>
                <w:sz w:val="21"/>
                <w:szCs w:val="21"/>
              </w:rPr>
            </w:pPr>
            <w:r>
              <w:rPr>
                <w:rFonts w:cs="Times New Roman"/>
                <w:sz w:val="21"/>
                <w:szCs w:val="21"/>
              </w:rPr>
              <w:t>CO</w:t>
            </w:r>
            <w:r>
              <w:rPr>
                <w:rFonts w:cs="Times New Roman"/>
                <w:sz w:val="21"/>
                <w:szCs w:val="21"/>
                <w:vertAlign w:val="subscript"/>
              </w:rPr>
              <w:t>2</w:t>
            </w:r>
            <w:r>
              <w:rPr>
                <w:rFonts w:cs="Times New Roman"/>
                <w:sz w:val="21"/>
                <w:szCs w:val="21"/>
              </w:rPr>
              <w:t>、CH</w:t>
            </w:r>
            <w:r>
              <w:rPr>
                <w:rFonts w:cs="Times New Roman"/>
                <w:sz w:val="21"/>
                <w:szCs w:val="21"/>
                <w:vertAlign w:val="subscript"/>
              </w:rPr>
              <w:t>4</w:t>
            </w:r>
            <w:r>
              <w:rPr>
                <w:rFonts w:cs="Times New Roman"/>
                <w:sz w:val="21"/>
                <w:szCs w:val="21"/>
              </w:rPr>
              <w:t>、N</w:t>
            </w:r>
            <w:r>
              <w:rPr>
                <w:rFonts w:cs="Times New Roman"/>
                <w:sz w:val="21"/>
                <w:szCs w:val="21"/>
                <w:vertAlign w:val="subscript"/>
              </w:rPr>
              <w:t>2</w:t>
            </w:r>
            <w:r>
              <w:rPr>
                <w:rFonts w:cs="Times New Roman"/>
                <w:sz w:val="21"/>
                <w:szCs w:val="21"/>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vAlign w:val="center"/>
          </w:tcPr>
          <w:p>
            <w:pPr>
              <w:spacing w:line="240" w:lineRule="auto"/>
              <w:ind w:firstLine="0" w:firstLineChars="0"/>
              <w:jc w:val="center"/>
              <w:rPr>
                <w:rFonts w:cs="Times New Roman"/>
                <w:sz w:val="21"/>
                <w:szCs w:val="21"/>
              </w:rPr>
            </w:pPr>
            <w:r>
              <w:rPr>
                <w:rFonts w:cs="Times New Roman"/>
                <w:sz w:val="21"/>
                <w:szCs w:val="21"/>
              </w:rPr>
              <w:t>2</w:t>
            </w:r>
          </w:p>
        </w:tc>
        <w:tc>
          <w:tcPr>
            <w:tcW w:w="1374" w:type="pct"/>
            <w:vAlign w:val="center"/>
          </w:tcPr>
          <w:p>
            <w:pPr>
              <w:spacing w:line="240" w:lineRule="auto"/>
              <w:ind w:firstLine="0" w:firstLineChars="0"/>
              <w:jc w:val="center"/>
              <w:rPr>
                <w:rFonts w:cs="Times New Roman"/>
                <w:bCs/>
                <w:color w:val="000000"/>
                <w:kern w:val="0"/>
                <w:sz w:val="21"/>
                <w:szCs w:val="21"/>
                <w:lang w:bidi="ar"/>
              </w:rPr>
            </w:pPr>
            <w:r>
              <w:rPr>
                <w:rFonts w:cs="Times New Roman"/>
                <w:bCs/>
                <w:color w:val="000000"/>
                <w:kern w:val="0"/>
                <w:sz w:val="21"/>
                <w:szCs w:val="21"/>
                <w:lang w:bidi="ar"/>
              </w:rPr>
              <w:t>乙炔焊接</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cs="Times New Roman"/>
                <w:bCs/>
                <w:color w:val="000000"/>
                <w:kern w:val="0"/>
                <w:sz w:val="21"/>
                <w:szCs w:val="21"/>
                <w:lang w:bidi="ar"/>
              </w:rPr>
              <w:t>乙炔</w:t>
            </w:r>
          </w:p>
        </w:tc>
        <w:tc>
          <w:tcPr>
            <w:tcW w:w="1754" w:type="pct"/>
            <w:vAlign w:val="center"/>
          </w:tcPr>
          <w:p>
            <w:pPr>
              <w:spacing w:line="240" w:lineRule="auto"/>
              <w:ind w:firstLine="0" w:firstLineChars="0"/>
              <w:jc w:val="center"/>
              <w:rPr>
                <w:rFonts w:cs="Times New Roman"/>
                <w:sz w:val="21"/>
                <w:szCs w:val="21"/>
              </w:rPr>
            </w:pPr>
            <w:r>
              <w:rPr>
                <w:rFonts w:cs="Times New Roman"/>
                <w:sz w:val="21"/>
                <w:szCs w:val="21"/>
              </w:rPr>
              <w:t>CO</w:t>
            </w:r>
            <w:r>
              <w:rPr>
                <w:rFonts w:cs="Times New Roman"/>
                <w:sz w:val="21"/>
                <w:szCs w:val="21"/>
                <w:vertAlign w:val="sub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cs="Times New Roman"/>
                <w:sz w:val="21"/>
                <w:szCs w:val="21"/>
              </w:rPr>
              <w:t>3</w:t>
            </w:r>
          </w:p>
        </w:tc>
        <w:tc>
          <w:tcPr>
            <w:tcW w:w="1374" w:type="pct"/>
            <w:vAlign w:val="center"/>
          </w:tcPr>
          <w:p>
            <w:pPr>
              <w:spacing w:line="240" w:lineRule="auto"/>
              <w:ind w:firstLine="0" w:firstLineChars="0"/>
              <w:jc w:val="center"/>
              <w:rPr>
                <w:rFonts w:hint="default" w:eastAsia="宋体" w:cs="Times New Roman"/>
                <w:bCs/>
                <w:color w:val="000000"/>
                <w:kern w:val="0"/>
                <w:sz w:val="21"/>
                <w:szCs w:val="21"/>
                <w:lang w:val="en-US" w:eastAsia="zh-CN" w:bidi="ar"/>
              </w:rPr>
            </w:pPr>
            <w:r>
              <w:rPr>
                <w:rFonts w:hint="eastAsia" w:cs="Times New Roman"/>
                <w:bCs/>
                <w:color w:val="000000"/>
                <w:kern w:val="0"/>
                <w:sz w:val="21"/>
                <w:szCs w:val="21"/>
                <w:lang w:val="en-US" w:eastAsia="zh-CN" w:bidi="ar"/>
              </w:rPr>
              <w:t>二保焊</w:t>
            </w:r>
          </w:p>
        </w:tc>
        <w:tc>
          <w:tcPr>
            <w:tcW w:w="1277" w:type="pct"/>
            <w:shd w:val="clear" w:color="auto" w:fill="auto"/>
            <w:vAlign w:val="center"/>
          </w:tcPr>
          <w:p>
            <w:pPr>
              <w:spacing w:line="240" w:lineRule="auto"/>
              <w:ind w:firstLine="0" w:firstLineChars="0"/>
              <w:jc w:val="center"/>
              <w:rPr>
                <w:rFonts w:hint="eastAsia" w:ascii="Times New Roman" w:hAnsi="Times New Roman" w:eastAsia="宋体" w:cs="Times New Roman"/>
                <w:bCs/>
                <w:color w:val="000000"/>
                <w:kern w:val="0"/>
                <w:sz w:val="21"/>
                <w:szCs w:val="21"/>
                <w:lang w:val="en-US" w:eastAsia="zh-CN" w:bidi="ar"/>
              </w:rPr>
            </w:pPr>
            <w:r>
              <w:rPr>
                <w:rFonts w:hint="eastAsia" w:cs="Times New Roman"/>
                <w:bCs/>
                <w:color w:val="000000"/>
                <w:kern w:val="0"/>
                <w:sz w:val="21"/>
                <w:szCs w:val="21"/>
                <w:lang w:val="en-US" w:eastAsia="zh-CN" w:bidi="ar"/>
              </w:rPr>
              <w:t>二氧化碳</w:t>
            </w:r>
          </w:p>
        </w:tc>
        <w:tc>
          <w:tcPr>
            <w:tcW w:w="1754" w:type="pct"/>
            <w:shd w:val="clear" w:color="auto" w:fill="auto"/>
            <w:vAlign w:val="center"/>
          </w:tcPr>
          <w:p>
            <w:pPr>
              <w:spacing w:line="240" w:lineRule="auto"/>
              <w:ind w:firstLine="0" w:firstLineChars="0"/>
              <w:jc w:val="center"/>
              <w:rPr>
                <w:rFonts w:hint="eastAsia" w:ascii="Times New Roman" w:hAnsi="Times New Roman" w:eastAsia="宋体" w:cs="Times New Roman"/>
                <w:bCs/>
                <w:color w:val="000000"/>
                <w:kern w:val="0"/>
                <w:sz w:val="21"/>
                <w:szCs w:val="21"/>
                <w:lang w:val="en-US" w:eastAsia="zh-CN" w:bidi="ar"/>
              </w:rPr>
            </w:pPr>
            <w:r>
              <w:rPr>
                <w:rFonts w:hint="default" w:cs="Times New Roman"/>
                <w:bCs/>
                <w:color w:val="000000"/>
                <w:kern w:val="0"/>
                <w:sz w:val="21"/>
                <w:szCs w:val="21"/>
                <w:lang w:eastAsia="en-US" w:bidi="ar"/>
              </w:rPr>
              <w:t>CO</w:t>
            </w:r>
            <w:r>
              <w:rPr>
                <w:rFonts w:hint="default" w:cs="Times New Roman"/>
                <w:bCs/>
                <w:color w:val="000000"/>
                <w:kern w:val="0"/>
                <w:sz w:val="21"/>
                <w:szCs w:val="21"/>
                <w:vertAlign w:val="subscript"/>
                <w:lang w:eastAsia="en-US"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cs="Times New Roman"/>
                <w:sz w:val="21"/>
                <w:szCs w:val="21"/>
              </w:rPr>
              <w:t>4</w:t>
            </w:r>
          </w:p>
        </w:tc>
        <w:tc>
          <w:tcPr>
            <w:tcW w:w="1374" w:type="pct"/>
            <w:vAlign w:val="center"/>
          </w:tcPr>
          <w:p>
            <w:pPr>
              <w:spacing w:line="240" w:lineRule="auto"/>
              <w:ind w:firstLine="0" w:firstLineChars="0"/>
              <w:jc w:val="center"/>
              <w:rPr>
                <w:rFonts w:cs="Times New Roman"/>
                <w:sz w:val="21"/>
                <w:szCs w:val="21"/>
              </w:rPr>
            </w:pPr>
            <w:r>
              <w:rPr>
                <w:rFonts w:cs="Times New Roman"/>
                <w:sz w:val="21"/>
                <w:szCs w:val="21"/>
              </w:rPr>
              <w:t>液化煤气灶具</w:t>
            </w:r>
          </w:p>
        </w:tc>
        <w:tc>
          <w:tcPr>
            <w:tcW w:w="1277" w:type="pct"/>
            <w:vAlign w:val="center"/>
          </w:tcPr>
          <w:p>
            <w:pPr>
              <w:spacing w:line="240" w:lineRule="auto"/>
              <w:ind w:firstLine="0" w:firstLineChars="0"/>
              <w:jc w:val="center"/>
              <w:rPr>
                <w:rFonts w:cs="Times New Roman"/>
                <w:sz w:val="21"/>
                <w:szCs w:val="21"/>
              </w:rPr>
            </w:pPr>
            <w:r>
              <w:rPr>
                <w:rFonts w:cs="Times New Roman"/>
                <w:bCs/>
                <w:color w:val="000000"/>
                <w:kern w:val="0"/>
                <w:sz w:val="21"/>
                <w:szCs w:val="21"/>
                <w:lang w:bidi="ar"/>
              </w:rPr>
              <w:t>液化煤气</w:t>
            </w:r>
          </w:p>
        </w:tc>
        <w:tc>
          <w:tcPr>
            <w:tcW w:w="1754" w:type="pct"/>
            <w:vAlign w:val="center"/>
          </w:tcPr>
          <w:p>
            <w:pPr>
              <w:spacing w:line="240" w:lineRule="auto"/>
              <w:ind w:firstLine="0" w:firstLineChars="0"/>
              <w:jc w:val="center"/>
              <w:rPr>
                <w:rFonts w:cs="Times New Roman"/>
                <w:sz w:val="21"/>
                <w:szCs w:val="21"/>
              </w:rPr>
            </w:pPr>
            <w:r>
              <w:rPr>
                <w:rFonts w:cs="Times New Roman"/>
                <w:sz w:val="21"/>
                <w:szCs w:val="21"/>
              </w:rPr>
              <w:t>CO</w:t>
            </w:r>
            <w:r>
              <w:rPr>
                <w:rFonts w:cs="Times New Roman"/>
                <w:sz w:val="21"/>
                <w:szCs w:val="21"/>
                <w:vertAlign w:val="subscript"/>
              </w:rPr>
              <w:t>2</w:t>
            </w:r>
            <w:r>
              <w:rPr>
                <w:rFonts w:cs="Times New Roman"/>
                <w:sz w:val="21"/>
                <w:szCs w:val="21"/>
              </w:rPr>
              <w:t>、N</w:t>
            </w:r>
            <w:r>
              <w:rPr>
                <w:rFonts w:cs="Times New Roman"/>
                <w:sz w:val="21"/>
                <w:szCs w:val="21"/>
                <w:vertAlign w:val="subscript"/>
              </w:rPr>
              <w:t>2</w:t>
            </w:r>
            <w:r>
              <w:rPr>
                <w:rFonts w:cs="Times New Roman"/>
                <w:sz w:val="21"/>
                <w:szCs w:val="21"/>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cs="Times New Roman"/>
                <w:sz w:val="21"/>
                <w:szCs w:val="21"/>
              </w:rPr>
              <w:t>5</w:t>
            </w:r>
          </w:p>
        </w:tc>
        <w:tc>
          <w:tcPr>
            <w:tcW w:w="1374"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公务车</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汽油</w:t>
            </w:r>
          </w:p>
        </w:tc>
        <w:tc>
          <w:tcPr>
            <w:tcW w:w="1754" w:type="pct"/>
            <w:vAlign w:val="center"/>
          </w:tcPr>
          <w:p>
            <w:pPr>
              <w:pStyle w:val="28"/>
              <w:rPr>
                <w:lang w:eastAsia="zh-CN"/>
              </w:rPr>
            </w:pPr>
            <w:r>
              <w:rPr>
                <w:rFonts w:hint="eastAsia"/>
                <w:lang w:eastAsia="zh-CN"/>
              </w:rPr>
              <w:t>C</w:t>
            </w:r>
            <w:r>
              <w:rPr>
                <w:lang w:eastAsia="zh-CN"/>
              </w:rPr>
              <w:t>O</w:t>
            </w:r>
            <w:r>
              <w:rPr>
                <w:vertAlign w:val="subscript"/>
                <w:lang w:eastAsia="zh-CN"/>
              </w:rPr>
              <w:t>2</w:t>
            </w:r>
            <w:r>
              <w:rPr>
                <w:rFonts w:hint="eastAsia"/>
                <w:lang w:eastAsia="zh-CN"/>
              </w:rPr>
              <w:t>、</w:t>
            </w:r>
            <w:r>
              <w:rPr>
                <w:lang w:eastAsia="zh-CN"/>
              </w:rPr>
              <w:t>CH</w:t>
            </w:r>
            <w:r>
              <w:rPr>
                <w:vertAlign w:val="subscript"/>
                <w:lang w:eastAsia="zh-CN"/>
              </w:rPr>
              <w:t>4</w:t>
            </w:r>
            <w:r>
              <w:rPr>
                <w:rFonts w:hint="eastAsia"/>
                <w:lang w:eastAsia="zh-CN"/>
              </w:rPr>
              <w:t>、</w:t>
            </w:r>
            <w:r>
              <w:rPr>
                <w:lang w:eastAsia="zh-CN"/>
              </w:rPr>
              <w:t>N</w:t>
            </w:r>
            <w:r>
              <w:rPr>
                <w:vertAlign w:val="subscript"/>
                <w:lang w:eastAsia="zh-CN"/>
              </w:rPr>
              <w:t>2</w:t>
            </w:r>
            <w:r>
              <w:rPr>
                <w:lang w:eastAsia="zh-CN"/>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hint="eastAsia" w:cs="Times New Roman"/>
                <w:sz w:val="21"/>
                <w:szCs w:val="21"/>
              </w:rPr>
              <w:t>6</w:t>
            </w:r>
          </w:p>
        </w:tc>
        <w:tc>
          <w:tcPr>
            <w:tcW w:w="1374"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叉车</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柴油</w:t>
            </w:r>
          </w:p>
        </w:tc>
        <w:tc>
          <w:tcPr>
            <w:tcW w:w="1754" w:type="pct"/>
            <w:vAlign w:val="center"/>
          </w:tcPr>
          <w:p>
            <w:pPr>
              <w:pStyle w:val="28"/>
            </w:pPr>
            <w:r>
              <w:rPr>
                <w:rFonts w:hint="eastAsia"/>
                <w:lang w:eastAsia="zh-CN"/>
              </w:rPr>
              <w:t>C</w:t>
            </w:r>
            <w:r>
              <w:rPr>
                <w:lang w:eastAsia="zh-CN"/>
              </w:rPr>
              <w:t>O</w:t>
            </w:r>
            <w:r>
              <w:rPr>
                <w:vertAlign w:val="subscript"/>
                <w:lang w:eastAsia="zh-CN"/>
              </w:rPr>
              <w:t>2</w:t>
            </w:r>
            <w:r>
              <w:rPr>
                <w:rFonts w:hint="eastAsia"/>
                <w:lang w:eastAsia="zh-CN"/>
              </w:rPr>
              <w:t>、</w:t>
            </w:r>
            <w:r>
              <w:rPr>
                <w:lang w:eastAsia="zh-CN"/>
              </w:rPr>
              <w:t>CH</w:t>
            </w:r>
            <w:r>
              <w:rPr>
                <w:vertAlign w:val="subscript"/>
                <w:lang w:eastAsia="zh-CN"/>
              </w:rPr>
              <w:t>4</w:t>
            </w:r>
            <w:r>
              <w:rPr>
                <w:rFonts w:hint="eastAsia"/>
                <w:lang w:eastAsia="zh-CN"/>
              </w:rPr>
              <w:t>、</w:t>
            </w:r>
            <w:r>
              <w:rPr>
                <w:lang w:eastAsia="zh-CN"/>
              </w:rPr>
              <w:t>N</w:t>
            </w:r>
            <w:r>
              <w:rPr>
                <w:vertAlign w:val="subscript"/>
                <w:lang w:eastAsia="zh-CN"/>
              </w:rPr>
              <w:t>2</w:t>
            </w:r>
            <w:r>
              <w:rPr>
                <w:lang w:eastAsia="zh-CN"/>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hint="eastAsia" w:cs="Times New Roman"/>
                <w:sz w:val="21"/>
                <w:szCs w:val="21"/>
              </w:rPr>
              <w:t>7</w:t>
            </w:r>
          </w:p>
        </w:tc>
        <w:tc>
          <w:tcPr>
            <w:tcW w:w="1374" w:type="pct"/>
            <w:shd w:val="clear" w:color="auto" w:fill="auto"/>
            <w:vAlign w:val="center"/>
          </w:tcPr>
          <w:p>
            <w:pPr>
              <w:spacing w:line="240" w:lineRule="auto"/>
              <w:ind w:firstLine="0" w:firstLineChars="0"/>
              <w:jc w:val="center"/>
              <w:rPr>
                <w:rFonts w:hint="eastAsia" w:cs="Times New Roman"/>
                <w:bCs/>
                <w:color w:val="000000"/>
                <w:kern w:val="0"/>
                <w:sz w:val="21"/>
                <w:szCs w:val="21"/>
                <w:lang w:val="en-US" w:eastAsia="zh-CN" w:bidi="ar"/>
              </w:rPr>
            </w:pPr>
            <w:r>
              <w:rPr>
                <w:rFonts w:hint="eastAsia" w:cs="Times New Roman"/>
                <w:bCs/>
                <w:color w:val="000000"/>
                <w:kern w:val="0"/>
                <w:sz w:val="21"/>
                <w:szCs w:val="21"/>
                <w:lang w:val="en-US" w:eastAsia="zh-CN" w:bidi="ar"/>
              </w:rPr>
              <w:t>二氧化碳灭火器</w:t>
            </w:r>
          </w:p>
        </w:tc>
        <w:tc>
          <w:tcPr>
            <w:tcW w:w="1277" w:type="pct"/>
            <w:shd w:val="clear" w:color="auto" w:fill="auto"/>
            <w:vAlign w:val="center"/>
          </w:tcPr>
          <w:p>
            <w:pPr>
              <w:spacing w:line="240" w:lineRule="auto"/>
              <w:ind w:firstLine="0" w:firstLineChars="0"/>
              <w:jc w:val="center"/>
              <w:rPr>
                <w:rFonts w:hint="eastAsia" w:cs="Times New Roman"/>
                <w:bCs/>
                <w:color w:val="000000"/>
                <w:kern w:val="0"/>
                <w:sz w:val="21"/>
                <w:szCs w:val="21"/>
                <w:lang w:val="en-US" w:eastAsia="zh-CN" w:bidi="ar"/>
              </w:rPr>
            </w:pPr>
            <w:r>
              <w:rPr>
                <w:rFonts w:hint="eastAsia" w:cs="Times New Roman"/>
                <w:bCs/>
                <w:color w:val="000000"/>
                <w:kern w:val="0"/>
                <w:sz w:val="21"/>
                <w:szCs w:val="21"/>
                <w:lang w:val="en-US" w:eastAsia="zh-CN" w:bidi="ar"/>
              </w:rPr>
              <w:t>二氧化碳</w:t>
            </w:r>
          </w:p>
        </w:tc>
        <w:tc>
          <w:tcPr>
            <w:tcW w:w="1754" w:type="pct"/>
            <w:shd w:val="clear" w:color="auto" w:fill="auto"/>
            <w:vAlign w:val="center"/>
          </w:tcPr>
          <w:p>
            <w:pPr>
              <w:spacing w:line="240" w:lineRule="auto"/>
              <w:ind w:firstLine="0" w:firstLineChars="0"/>
              <w:jc w:val="center"/>
              <w:rPr>
                <w:rFonts w:hint="eastAsia" w:cs="Times New Roman"/>
                <w:bCs/>
                <w:color w:val="000000"/>
                <w:kern w:val="0"/>
                <w:sz w:val="21"/>
                <w:szCs w:val="21"/>
                <w:lang w:val="en-US" w:eastAsia="zh-CN" w:bidi="ar"/>
              </w:rPr>
            </w:pPr>
            <w:r>
              <w:rPr>
                <w:rFonts w:hint="default" w:cs="Times New Roman"/>
                <w:bCs/>
                <w:color w:val="000000"/>
                <w:kern w:val="0"/>
                <w:sz w:val="21"/>
                <w:szCs w:val="21"/>
                <w:lang w:eastAsia="en-US" w:bidi="ar"/>
              </w:rPr>
              <w:t>CO</w:t>
            </w:r>
            <w:r>
              <w:rPr>
                <w:rFonts w:hint="default" w:cs="Times New Roman"/>
                <w:bCs/>
                <w:color w:val="000000"/>
                <w:kern w:val="0"/>
                <w:sz w:val="21"/>
                <w:szCs w:val="21"/>
                <w:vertAlign w:val="subscript"/>
                <w:lang w:eastAsia="en-US"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shd w:val="clear" w:color="auto" w:fill="auto"/>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hint="eastAsia" w:cs="Times New Roman"/>
                <w:sz w:val="21"/>
                <w:szCs w:val="21"/>
              </w:rPr>
              <w:t>8</w:t>
            </w:r>
          </w:p>
        </w:tc>
        <w:tc>
          <w:tcPr>
            <w:tcW w:w="1374"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化粪池</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hint="eastAsia" w:cs="Times New Roman"/>
                <w:bCs/>
                <w:color w:val="000000"/>
                <w:kern w:val="0"/>
                <w:sz w:val="21"/>
                <w:szCs w:val="21"/>
                <w:lang w:bidi="ar"/>
              </w:rPr>
              <w:t>化粪池甲烷泄漏</w:t>
            </w:r>
          </w:p>
        </w:tc>
        <w:tc>
          <w:tcPr>
            <w:tcW w:w="1754" w:type="pct"/>
            <w:vAlign w:val="center"/>
          </w:tcPr>
          <w:p>
            <w:pPr>
              <w:pStyle w:val="28"/>
              <w:rPr>
                <w:rFonts w:cs="Arial"/>
                <w:spacing w:val="-3"/>
                <w:lang w:eastAsia="zh-CN"/>
              </w:rPr>
            </w:pPr>
            <w:r>
              <w:rPr>
                <w:lang w:eastAsia="zh-CN"/>
              </w:rPr>
              <w:t>CH</w:t>
            </w:r>
            <w:r>
              <w:rPr>
                <w:vertAlign w:val="subscript"/>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vAlign w:val="center"/>
          </w:tcPr>
          <w:p>
            <w:pPr>
              <w:spacing w:line="240" w:lineRule="auto"/>
              <w:ind w:firstLine="0" w:firstLineChars="0"/>
              <w:jc w:val="center"/>
              <w:rPr>
                <w:rFonts w:hint="eastAsia" w:eastAsia="宋体" w:cs="Times New Roman"/>
                <w:sz w:val="21"/>
                <w:szCs w:val="21"/>
                <w:lang w:val="en-US" w:eastAsia="zh-CN"/>
              </w:rPr>
            </w:pPr>
            <w:r>
              <w:rPr>
                <w:rFonts w:hint="eastAsia" w:cs="Times New Roman"/>
                <w:sz w:val="21"/>
                <w:szCs w:val="21"/>
                <w:lang w:val="en-US" w:eastAsia="zh-CN"/>
              </w:rPr>
              <w:t>9</w:t>
            </w:r>
          </w:p>
        </w:tc>
        <w:tc>
          <w:tcPr>
            <w:tcW w:w="1374" w:type="pct"/>
            <w:vAlign w:val="center"/>
          </w:tcPr>
          <w:p>
            <w:pPr>
              <w:widowControl/>
              <w:spacing w:line="240" w:lineRule="auto"/>
              <w:ind w:firstLine="0" w:firstLineChars="0"/>
              <w:jc w:val="center"/>
              <w:rPr>
                <w:sz w:val="21"/>
                <w:szCs w:val="21"/>
              </w:rPr>
            </w:pPr>
            <w:r>
              <w:rPr>
                <w:rFonts w:hint="eastAsia"/>
                <w:sz w:val="21"/>
                <w:szCs w:val="21"/>
              </w:rPr>
              <w:t>公务车冷媒</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hint="eastAsia"/>
                <w:sz w:val="21"/>
                <w:szCs w:val="21"/>
              </w:rPr>
              <w:t>冷媒</w:t>
            </w:r>
          </w:p>
        </w:tc>
        <w:tc>
          <w:tcPr>
            <w:tcW w:w="1754" w:type="pct"/>
            <w:vAlign w:val="center"/>
          </w:tcPr>
          <w:p>
            <w:pPr>
              <w:spacing w:line="240" w:lineRule="auto"/>
              <w:ind w:firstLine="0" w:firstLineChars="0"/>
              <w:jc w:val="center"/>
              <w:rPr>
                <w:rFonts w:cs="Times New Roman"/>
                <w:sz w:val="21"/>
                <w:szCs w:val="21"/>
              </w:rPr>
            </w:pPr>
            <w:r>
              <w:rPr>
                <w:rFonts w:hint="eastAsia"/>
                <w:sz w:val="21"/>
                <w:szCs w:val="21"/>
              </w:rPr>
              <w:t>HFCs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93" w:type="pct"/>
            <w:vAlign w:val="center"/>
          </w:tcPr>
          <w:p>
            <w:pPr>
              <w:spacing w:line="240" w:lineRule="auto"/>
              <w:ind w:firstLine="0" w:firstLineChars="0"/>
              <w:jc w:val="center"/>
              <w:rPr>
                <w:rFonts w:hint="default" w:eastAsia="宋体" w:cs="Times New Roman"/>
                <w:sz w:val="21"/>
                <w:szCs w:val="21"/>
                <w:lang w:val="en-US" w:eastAsia="zh-CN"/>
              </w:rPr>
            </w:pPr>
            <w:r>
              <w:rPr>
                <w:rFonts w:hint="eastAsia" w:cs="Times New Roman"/>
                <w:sz w:val="21"/>
                <w:szCs w:val="21"/>
                <w:lang w:val="en-US" w:eastAsia="zh-CN"/>
              </w:rPr>
              <w:t>10</w:t>
            </w:r>
          </w:p>
        </w:tc>
        <w:tc>
          <w:tcPr>
            <w:tcW w:w="1374" w:type="pct"/>
            <w:vAlign w:val="center"/>
          </w:tcPr>
          <w:p>
            <w:pPr>
              <w:spacing w:line="240" w:lineRule="auto"/>
              <w:ind w:firstLine="111" w:firstLineChars="53"/>
              <w:jc w:val="center"/>
              <w:rPr>
                <w:color w:val="000000"/>
                <w:sz w:val="21"/>
                <w:szCs w:val="21"/>
              </w:rPr>
            </w:pPr>
            <w:r>
              <w:rPr>
                <w:rFonts w:hint="eastAsia"/>
                <w:color w:val="000000"/>
                <w:sz w:val="21"/>
                <w:szCs w:val="21"/>
              </w:rPr>
              <w:t>空调</w:t>
            </w:r>
          </w:p>
        </w:tc>
        <w:tc>
          <w:tcPr>
            <w:tcW w:w="1277" w:type="pct"/>
            <w:vAlign w:val="center"/>
          </w:tcPr>
          <w:p>
            <w:pPr>
              <w:spacing w:line="240" w:lineRule="auto"/>
              <w:ind w:firstLine="0" w:firstLineChars="0"/>
              <w:jc w:val="center"/>
              <w:rPr>
                <w:rFonts w:cs="Times New Roman"/>
                <w:bCs/>
                <w:color w:val="000000"/>
                <w:kern w:val="0"/>
                <w:sz w:val="21"/>
                <w:szCs w:val="21"/>
                <w:lang w:bidi="ar"/>
              </w:rPr>
            </w:pPr>
            <w:r>
              <w:rPr>
                <w:rFonts w:hint="eastAsia"/>
                <w:color w:val="000000"/>
                <w:sz w:val="21"/>
                <w:szCs w:val="21"/>
              </w:rPr>
              <w:t>制冷剂</w:t>
            </w:r>
          </w:p>
        </w:tc>
        <w:tc>
          <w:tcPr>
            <w:tcW w:w="1754" w:type="pct"/>
            <w:vAlign w:val="center"/>
          </w:tcPr>
          <w:p>
            <w:pPr>
              <w:spacing w:line="240" w:lineRule="auto"/>
              <w:ind w:firstLine="0" w:firstLineChars="0"/>
              <w:jc w:val="center"/>
              <w:rPr>
                <w:rFonts w:cs="Times New Roman"/>
                <w:sz w:val="21"/>
                <w:szCs w:val="21"/>
              </w:rPr>
            </w:pPr>
            <w:r>
              <w:rPr>
                <w:rFonts w:hint="eastAsia"/>
                <w:sz w:val="21"/>
                <w:szCs w:val="21"/>
              </w:rPr>
              <w:t>HFCs</w:t>
            </w:r>
          </w:p>
        </w:tc>
      </w:tr>
    </w:tbl>
    <w:p>
      <w:pPr>
        <w:pStyle w:val="4"/>
      </w:pPr>
      <w:bookmarkStart w:id="35" w:name="_Toc24091"/>
      <w:r>
        <w:rPr>
          <w:rFonts w:hint="eastAsia"/>
        </w:rPr>
        <w:t>3.2.</w:t>
      </w:r>
      <w:r>
        <w:t xml:space="preserve">2 </w:t>
      </w:r>
      <w:r>
        <w:rPr>
          <w:rFonts w:hint="eastAsia"/>
        </w:rPr>
        <w:t>直接温室气体排放量总计</w:t>
      </w:r>
      <w:bookmarkEnd w:id="35"/>
    </w:p>
    <w:p>
      <w:pPr>
        <w:ind w:firstLine="480"/>
      </w:pPr>
      <w:r>
        <w:rPr>
          <w:rFonts w:hint="eastAsia"/>
        </w:rPr>
        <w:t>广东隆达2023年度直接温室气体排放量总计为</w:t>
      </w:r>
      <w:r>
        <w:rPr>
          <w:rFonts w:hint="eastAsia"/>
          <w:lang w:val="en-US" w:eastAsia="zh-CN"/>
        </w:rPr>
        <w:t>12,506.41</w:t>
      </w:r>
      <w:r>
        <w:rPr>
          <w:rFonts w:hint="eastAsia"/>
        </w:rPr>
        <w:t>tCO</w:t>
      </w:r>
      <w:r>
        <w:rPr>
          <w:rFonts w:hint="eastAsia"/>
          <w:vertAlign w:val="subscript"/>
        </w:rPr>
        <w:t>2</w:t>
      </w:r>
      <w:r>
        <w:rPr>
          <w:rFonts w:hint="eastAsia"/>
        </w:rPr>
        <w:t>e，占温室气体总排放量的</w:t>
      </w:r>
      <w:r>
        <w:rPr>
          <w:rFonts w:hint="eastAsia"/>
          <w:lang w:val="en-US" w:eastAsia="zh-CN"/>
        </w:rPr>
        <w:t>4.60</w:t>
      </w:r>
      <w:r>
        <w:rPr>
          <w:rFonts w:hint="eastAsia"/>
        </w:rPr>
        <w:t>%。广东隆达没有由生物质燃烧产生的二氧化碳直接排放。</w:t>
      </w:r>
    </w:p>
    <w:p>
      <w:pPr>
        <w:ind w:firstLine="480"/>
      </w:pPr>
      <w:r>
        <w:rPr>
          <w:rFonts w:hint="eastAsia"/>
        </w:rPr>
        <w:t>广东隆达2023年度直接温室气体排放总计见</w:t>
      </w:r>
      <w:r>
        <w:t>下表。</w:t>
      </w:r>
    </w:p>
    <w:p>
      <w:pPr>
        <w:pStyle w:val="20"/>
        <w:numPr>
          <w:ilvl w:val="0"/>
          <w:numId w:val="2"/>
        </w:numPr>
        <w:ind w:left="-142" w:leftChars="-59" w:firstLine="0" w:firstLineChars="0"/>
        <w:jc w:val="center"/>
      </w:pPr>
      <w:r>
        <w:rPr>
          <w:rFonts w:hint="eastAsia"/>
        </w:rPr>
        <w:t>各种直接温室气体排放量</w:t>
      </w:r>
    </w:p>
    <w:tbl>
      <w:tblPr>
        <w:tblStyle w:val="29"/>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31"/>
        <w:gridCol w:w="850"/>
        <w:gridCol w:w="551"/>
        <w:gridCol w:w="607"/>
        <w:gridCol w:w="666"/>
        <w:gridCol w:w="666"/>
        <w:gridCol w:w="588"/>
        <w:gridCol w:w="747"/>
        <w:gridCol w:w="610"/>
        <w:gridCol w:w="679"/>
        <w:gridCol w:w="679"/>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exact"/>
          <w:jc w:val="center"/>
        </w:trPr>
        <w:tc>
          <w:tcPr>
            <w:tcW w:w="470" w:type="pct"/>
            <w:shd w:val="clear" w:color="auto" w:fill="auto"/>
            <w:vAlign w:val="center"/>
          </w:tcPr>
          <w:p>
            <w:pPr>
              <w:pStyle w:val="28"/>
              <w:rPr>
                <w:b/>
                <w:bCs/>
              </w:rPr>
            </w:pPr>
            <w:r>
              <w:rPr>
                <w:b/>
                <w:bCs/>
              </w:rPr>
              <w:t>类别</w:t>
            </w:r>
          </w:p>
        </w:tc>
        <w:tc>
          <w:tcPr>
            <w:tcW w:w="426" w:type="pct"/>
            <w:vAlign w:val="center"/>
          </w:tcPr>
          <w:p>
            <w:pPr>
              <w:pStyle w:val="28"/>
              <w:rPr>
                <w:b/>
                <w:bCs/>
              </w:rPr>
            </w:pPr>
            <w:r>
              <w:rPr>
                <w:rFonts w:hint="eastAsia"/>
                <w:b/>
                <w:bCs/>
              </w:rPr>
              <w:t>天然气</w:t>
            </w:r>
          </w:p>
        </w:tc>
        <w:tc>
          <w:tcPr>
            <w:tcW w:w="361" w:type="pct"/>
            <w:shd w:val="clear" w:color="auto" w:fill="auto"/>
            <w:vAlign w:val="center"/>
          </w:tcPr>
          <w:p>
            <w:pPr>
              <w:pStyle w:val="28"/>
              <w:rPr>
                <w:b/>
                <w:bCs/>
              </w:rPr>
            </w:pPr>
            <w:r>
              <w:rPr>
                <w:rFonts w:hint="eastAsia"/>
                <w:b/>
                <w:bCs/>
              </w:rPr>
              <w:t>乙炔</w:t>
            </w:r>
          </w:p>
        </w:tc>
        <w:tc>
          <w:tcPr>
            <w:tcW w:w="394" w:type="pct"/>
            <w:vAlign w:val="center"/>
          </w:tcPr>
          <w:p>
            <w:pPr>
              <w:pStyle w:val="28"/>
              <w:rPr>
                <w:rFonts w:hint="default" w:eastAsia="宋体"/>
                <w:b/>
                <w:bCs/>
                <w:lang w:val="en-US" w:eastAsia="zh-CN"/>
              </w:rPr>
            </w:pPr>
            <w:r>
              <w:rPr>
                <w:rFonts w:hint="eastAsia"/>
                <w:b/>
                <w:bCs/>
                <w:lang w:val="en-US" w:eastAsia="zh-CN"/>
              </w:rPr>
              <w:t>CO</w:t>
            </w:r>
            <w:r>
              <w:rPr>
                <w:rFonts w:hint="eastAsia"/>
                <w:b/>
                <w:bCs/>
                <w:vertAlign w:val="subscript"/>
                <w:lang w:val="en-US" w:eastAsia="zh-CN"/>
              </w:rPr>
              <w:t>2</w:t>
            </w:r>
            <w:r>
              <w:rPr>
                <w:rFonts w:hint="eastAsia"/>
                <w:b/>
                <w:bCs/>
                <w:lang w:val="en-US" w:eastAsia="zh-CN"/>
              </w:rPr>
              <w:t>保护气</w:t>
            </w:r>
          </w:p>
        </w:tc>
        <w:tc>
          <w:tcPr>
            <w:tcW w:w="430" w:type="pct"/>
            <w:vAlign w:val="center"/>
          </w:tcPr>
          <w:p>
            <w:pPr>
              <w:pStyle w:val="28"/>
              <w:rPr>
                <w:b/>
                <w:bCs/>
                <w:lang w:eastAsia="zh-CN"/>
              </w:rPr>
            </w:pPr>
            <w:r>
              <w:rPr>
                <w:b/>
                <w:bCs/>
                <w:lang w:eastAsia="zh-CN"/>
              </w:rPr>
              <w:t>液化煤气</w:t>
            </w:r>
          </w:p>
        </w:tc>
        <w:tc>
          <w:tcPr>
            <w:tcW w:w="430" w:type="pct"/>
            <w:shd w:val="clear" w:color="auto" w:fill="auto"/>
            <w:vAlign w:val="center"/>
          </w:tcPr>
          <w:p>
            <w:pPr>
              <w:pStyle w:val="28"/>
              <w:rPr>
                <w:b/>
                <w:bCs/>
              </w:rPr>
            </w:pPr>
            <w:r>
              <w:rPr>
                <w:rFonts w:hint="eastAsia"/>
                <w:b/>
                <w:bCs/>
                <w:lang w:eastAsia="zh-CN"/>
              </w:rPr>
              <w:t>汽油</w:t>
            </w:r>
          </w:p>
        </w:tc>
        <w:tc>
          <w:tcPr>
            <w:tcW w:w="295" w:type="pct"/>
            <w:shd w:val="clear" w:color="auto" w:fill="auto"/>
            <w:vAlign w:val="center"/>
          </w:tcPr>
          <w:p>
            <w:pPr>
              <w:pStyle w:val="28"/>
              <w:rPr>
                <w:b/>
                <w:bCs/>
              </w:rPr>
            </w:pPr>
            <w:r>
              <w:rPr>
                <w:rFonts w:hint="eastAsia"/>
                <w:b/>
                <w:bCs/>
              </w:rPr>
              <w:t>柴油</w:t>
            </w:r>
          </w:p>
        </w:tc>
        <w:tc>
          <w:tcPr>
            <w:tcW w:w="479" w:type="pct"/>
            <w:shd w:val="clear" w:color="auto" w:fill="auto"/>
            <w:vAlign w:val="center"/>
          </w:tcPr>
          <w:p>
            <w:pPr>
              <w:pStyle w:val="28"/>
              <w:rPr>
                <w:b/>
                <w:bCs/>
              </w:rPr>
            </w:pPr>
            <w:r>
              <w:rPr>
                <w:rFonts w:hint="eastAsia"/>
                <w:b/>
                <w:bCs/>
              </w:rPr>
              <w:t>化粪池甲烷泄漏</w:t>
            </w:r>
          </w:p>
        </w:tc>
        <w:tc>
          <w:tcPr>
            <w:tcW w:w="396" w:type="pct"/>
            <w:vAlign w:val="center"/>
          </w:tcPr>
          <w:p>
            <w:pPr>
              <w:pStyle w:val="28"/>
              <w:rPr>
                <w:b/>
                <w:bCs/>
              </w:rPr>
            </w:pPr>
            <w:r>
              <w:rPr>
                <w:rFonts w:hint="eastAsia"/>
                <w:b/>
                <w:bCs/>
              </w:rPr>
              <w:t>冷媒</w:t>
            </w:r>
          </w:p>
        </w:tc>
        <w:tc>
          <w:tcPr>
            <w:tcW w:w="438" w:type="pct"/>
            <w:shd w:val="clear" w:color="auto" w:fill="auto"/>
            <w:vAlign w:val="center"/>
          </w:tcPr>
          <w:p>
            <w:pPr>
              <w:pStyle w:val="28"/>
              <w:ind w:firstLine="0" w:firstLineChars="0"/>
              <w:rPr>
                <w:rFonts w:hint="eastAsia" w:ascii="Times New Roman" w:hAnsi="Times New Roman" w:eastAsia="宋体" w:cstheme="minorBidi"/>
                <w:b/>
                <w:bCs/>
                <w:kern w:val="0"/>
                <w:sz w:val="21"/>
                <w:szCs w:val="22"/>
                <w:lang w:val="en-US" w:eastAsia="en-US" w:bidi="ar-SA"/>
              </w:rPr>
            </w:pPr>
            <w:r>
              <w:rPr>
                <w:rFonts w:hint="eastAsia"/>
                <w:b/>
                <w:bCs/>
              </w:rPr>
              <w:t>制冷剂</w:t>
            </w:r>
          </w:p>
        </w:tc>
        <w:tc>
          <w:tcPr>
            <w:tcW w:w="438" w:type="pct"/>
            <w:vAlign w:val="center"/>
          </w:tcPr>
          <w:p>
            <w:pPr>
              <w:pStyle w:val="28"/>
              <w:rPr>
                <w:rFonts w:hint="eastAsia" w:eastAsia="宋体"/>
                <w:b/>
                <w:bCs/>
                <w:lang w:val="en-US" w:eastAsia="zh-CN"/>
              </w:rPr>
            </w:pPr>
            <w:r>
              <w:rPr>
                <w:rFonts w:hint="eastAsia"/>
                <w:b/>
                <w:bCs/>
                <w:lang w:val="en-US" w:eastAsia="zh-CN"/>
              </w:rPr>
              <w:t>CO</w:t>
            </w:r>
            <w:r>
              <w:rPr>
                <w:rFonts w:hint="eastAsia"/>
                <w:b/>
                <w:bCs/>
                <w:vertAlign w:val="subscript"/>
                <w:lang w:val="en-US" w:eastAsia="zh-CN"/>
              </w:rPr>
              <w:t>2</w:t>
            </w:r>
            <w:r>
              <w:rPr>
                <w:rFonts w:hint="eastAsia"/>
                <w:b/>
                <w:bCs/>
                <w:lang w:val="en-US" w:eastAsia="zh-CN"/>
              </w:rPr>
              <w:t>灭火器</w:t>
            </w:r>
          </w:p>
        </w:tc>
        <w:tc>
          <w:tcPr>
            <w:tcW w:w="438" w:type="pct"/>
            <w:shd w:val="clear" w:color="auto" w:fill="auto"/>
            <w:vAlign w:val="center"/>
          </w:tcPr>
          <w:p>
            <w:pPr>
              <w:pStyle w:val="28"/>
              <w:rPr>
                <w:b/>
                <w:bCs/>
              </w:rPr>
            </w:pPr>
            <w:r>
              <w:rPr>
                <w:b/>
                <w:bCs/>
              </w:rPr>
              <w:t>总计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exact"/>
          <w:jc w:val="center"/>
        </w:trPr>
        <w:tc>
          <w:tcPr>
            <w:tcW w:w="470" w:type="pct"/>
            <w:shd w:val="clear" w:color="auto" w:fill="auto"/>
            <w:vAlign w:val="center"/>
          </w:tcPr>
          <w:p>
            <w:pPr>
              <w:pStyle w:val="28"/>
            </w:pPr>
            <w:r>
              <w:t>CO</w:t>
            </w:r>
            <w:r>
              <w:rPr>
                <w:vertAlign w:val="subscript"/>
              </w:rPr>
              <w:t>2</w:t>
            </w:r>
            <w:r>
              <w:t>当量（吨）</w:t>
            </w:r>
          </w:p>
        </w:tc>
        <w:tc>
          <w:tcPr>
            <w:tcW w:w="426" w:type="pct"/>
            <w:vAlign w:val="center"/>
          </w:tcPr>
          <w:p>
            <w:pPr>
              <w:pStyle w:val="28"/>
              <w:rPr>
                <w:rFonts w:hint="default" w:eastAsia="宋体"/>
                <w:bCs/>
                <w:lang w:val="en-US" w:eastAsia="zh-CN"/>
              </w:rPr>
            </w:pPr>
            <w:r>
              <w:rPr>
                <w:rFonts w:hint="eastAsia"/>
                <w:bCs/>
                <w:lang w:val="en-US" w:eastAsia="zh-CN"/>
              </w:rPr>
              <w:t>12,122.73</w:t>
            </w:r>
          </w:p>
        </w:tc>
        <w:tc>
          <w:tcPr>
            <w:tcW w:w="361" w:type="pct"/>
            <w:shd w:val="clear" w:color="auto" w:fill="auto"/>
            <w:vAlign w:val="center"/>
          </w:tcPr>
          <w:p>
            <w:pPr>
              <w:pStyle w:val="28"/>
              <w:rPr>
                <w:rFonts w:hint="default" w:eastAsia="宋体"/>
                <w:bCs/>
                <w:lang w:val="en-US" w:eastAsia="zh-CN"/>
              </w:rPr>
            </w:pPr>
            <w:r>
              <w:rPr>
                <w:rFonts w:hint="eastAsia"/>
                <w:bCs/>
                <w:lang w:val="en-US" w:eastAsia="zh-CN"/>
              </w:rPr>
              <w:t>1.46</w:t>
            </w:r>
          </w:p>
        </w:tc>
        <w:tc>
          <w:tcPr>
            <w:tcW w:w="394" w:type="pct"/>
            <w:vAlign w:val="center"/>
          </w:tcPr>
          <w:p>
            <w:pPr>
              <w:pStyle w:val="28"/>
              <w:rPr>
                <w:rFonts w:hint="default"/>
                <w:bCs/>
                <w:lang w:val="en-US" w:eastAsia="zh-CN"/>
              </w:rPr>
            </w:pPr>
            <w:r>
              <w:rPr>
                <w:rFonts w:hint="eastAsia"/>
                <w:bCs/>
                <w:lang w:val="en-US" w:eastAsia="zh-CN"/>
              </w:rPr>
              <w:t>11.70</w:t>
            </w:r>
          </w:p>
        </w:tc>
        <w:tc>
          <w:tcPr>
            <w:tcW w:w="430" w:type="pct"/>
            <w:vAlign w:val="center"/>
          </w:tcPr>
          <w:p>
            <w:pPr>
              <w:pStyle w:val="28"/>
              <w:rPr>
                <w:rFonts w:hint="default" w:eastAsia="宋体"/>
                <w:lang w:val="en-US" w:eastAsia="zh-CN"/>
              </w:rPr>
            </w:pPr>
            <w:r>
              <w:rPr>
                <w:rFonts w:hint="eastAsia"/>
                <w:lang w:val="en-US" w:eastAsia="zh-CN"/>
              </w:rPr>
              <w:t>1.61</w:t>
            </w:r>
          </w:p>
        </w:tc>
        <w:tc>
          <w:tcPr>
            <w:tcW w:w="430" w:type="pct"/>
            <w:shd w:val="clear" w:color="auto" w:fill="auto"/>
            <w:vAlign w:val="center"/>
          </w:tcPr>
          <w:p>
            <w:pPr>
              <w:pStyle w:val="28"/>
              <w:rPr>
                <w:rFonts w:hint="default" w:eastAsia="宋体"/>
                <w:lang w:val="en-US" w:eastAsia="zh-CN"/>
              </w:rPr>
            </w:pPr>
            <w:r>
              <w:rPr>
                <w:rFonts w:hint="eastAsia"/>
                <w:lang w:val="en-US" w:eastAsia="zh-CN"/>
              </w:rPr>
              <w:t>37.70</w:t>
            </w:r>
          </w:p>
        </w:tc>
        <w:tc>
          <w:tcPr>
            <w:tcW w:w="295" w:type="pct"/>
            <w:shd w:val="clear" w:color="auto" w:fill="auto"/>
            <w:vAlign w:val="center"/>
          </w:tcPr>
          <w:p>
            <w:pPr>
              <w:pStyle w:val="28"/>
              <w:rPr>
                <w:rFonts w:hint="default" w:eastAsia="宋体"/>
                <w:lang w:val="en-US" w:eastAsia="zh-CN"/>
              </w:rPr>
            </w:pPr>
            <w:r>
              <w:rPr>
                <w:rFonts w:hint="eastAsia"/>
                <w:lang w:val="en-US" w:eastAsia="zh-CN"/>
              </w:rPr>
              <w:t>314.71</w:t>
            </w:r>
          </w:p>
        </w:tc>
        <w:tc>
          <w:tcPr>
            <w:tcW w:w="479" w:type="pct"/>
            <w:shd w:val="clear" w:color="auto" w:fill="auto"/>
            <w:vAlign w:val="center"/>
          </w:tcPr>
          <w:p>
            <w:pPr>
              <w:pStyle w:val="28"/>
              <w:rPr>
                <w:rFonts w:hint="default" w:eastAsia="宋体"/>
                <w:lang w:val="en-US" w:eastAsia="zh-CN"/>
              </w:rPr>
            </w:pPr>
            <w:r>
              <w:rPr>
                <w:rFonts w:hint="eastAsia"/>
                <w:lang w:val="en-US" w:eastAsia="zh-CN"/>
              </w:rPr>
              <w:t>14.07</w:t>
            </w:r>
          </w:p>
        </w:tc>
        <w:tc>
          <w:tcPr>
            <w:tcW w:w="396" w:type="pct"/>
            <w:vAlign w:val="center"/>
          </w:tcPr>
          <w:p>
            <w:pPr>
              <w:pStyle w:val="28"/>
              <w:rPr>
                <w:rFonts w:hint="default"/>
                <w:lang w:val="en-US" w:eastAsia="zh-CN"/>
              </w:rPr>
            </w:pPr>
            <w:r>
              <w:rPr>
                <w:rFonts w:hint="eastAsia"/>
                <w:lang w:val="en-US" w:eastAsia="zh-CN"/>
              </w:rPr>
              <w:t>1.01</w:t>
            </w:r>
          </w:p>
        </w:tc>
        <w:tc>
          <w:tcPr>
            <w:tcW w:w="438" w:type="pct"/>
            <w:shd w:val="clear" w:color="auto" w:fill="auto"/>
            <w:vAlign w:val="center"/>
          </w:tcPr>
          <w:p>
            <w:pPr>
              <w:pStyle w:val="28"/>
              <w:ind w:firstLine="0" w:firstLineChars="0"/>
              <w:rPr>
                <w:rFonts w:hint="default" w:ascii="Times New Roman" w:hAnsi="Times New Roman" w:eastAsia="宋体" w:cstheme="minorBidi"/>
                <w:kern w:val="0"/>
                <w:sz w:val="21"/>
                <w:szCs w:val="22"/>
                <w:lang w:val="en-US" w:eastAsia="zh-CN" w:bidi="ar-SA"/>
              </w:rPr>
            </w:pPr>
            <w:r>
              <w:rPr>
                <w:rFonts w:hint="eastAsia"/>
                <w:lang w:val="en-US" w:eastAsia="zh-CN"/>
              </w:rPr>
              <w:t>0.29</w:t>
            </w:r>
          </w:p>
        </w:tc>
        <w:tc>
          <w:tcPr>
            <w:tcW w:w="438" w:type="pct"/>
            <w:vAlign w:val="center"/>
          </w:tcPr>
          <w:p>
            <w:pPr>
              <w:pStyle w:val="28"/>
              <w:rPr>
                <w:rFonts w:hint="default"/>
                <w:lang w:val="en-US" w:eastAsia="zh-CN"/>
              </w:rPr>
            </w:pPr>
            <w:r>
              <w:rPr>
                <w:rFonts w:hint="eastAsia"/>
                <w:lang w:val="en-US" w:eastAsia="zh-CN"/>
              </w:rPr>
              <w:t>1.13</w:t>
            </w:r>
          </w:p>
        </w:tc>
        <w:tc>
          <w:tcPr>
            <w:tcW w:w="438" w:type="pct"/>
            <w:shd w:val="clear" w:color="auto" w:fill="auto"/>
            <w:vAlign w:val="center"/>
          </w:tcPr>
          <w:p>
            <w:pPr>
              <w:pStyle w:val="28"/>
              <w:rPr>
                <w:rFonts w:hint="default" w:eastAsia="宋体"/>
                <w:lang w:val="en-US" w:eastAsia="zh-CN"/>
              </w:rPr>
            </w:pPr>
            <w:r>
              <w:rPr>
                <w:rFonts w:hint="eastAsia"/>
                <w:lang w:val="en-US" w:eastAsia="zh-CN"/>
              </w:rPr>
              <w:t>12,506.41</w:t>
            </w:r>
          </w:p>
        </w:tc>
      </w:tr>
    </w:tbl>
    <w:p>
      <w:pPr>
        <w:pStyle w:val="3"/>
      </w:pPr>
      <w:bookmarkStart w:id="36" w:name="_Toc24568"/>
      <w:bookmarkStart w:id="37" w:name="_Toc3733"/>
      <w:r>
        <w:rPr>
          <w:rFonts w:hint="eastAsia"/>
        </w:rPr>
        <w:t>3.3能源间接温室气体排放说明（类别2）</w:t>
      </w:r>
      <w:bookmarkEnd w:id="36"/>
      <w:bookmarkEnd w:id="37"/>
    </w:p>
    <w:p>
      <w:pPr>
        <w:pStyle w:val="4"/>
      </w:pPr>
      <w:bookmarkStart w:id="38" w:name="_Toc2806"/>
      <w:r>
        <w:rPr>
          <w:rFonts w:hint="eastAsia"/>
        </w:rPr>
        <w:t>3.3.1能源间接温室气体排放源</w:t>
      </w:r>
      <w:bookmarkEnd w:id="38"/>
    </w:p>
    <w:p>
      <w:pPr>
        <w:ind w:firstLine="480"/>
      </w:pPr>
      <w:r>
        <w:rPr>
          <w:rFonts w:hint="eastAsia"/>
        </w:rPr>
        <w:t>能源间接温室气体排放源主要</w:t>
      </w:r>
      <w:r>
        <w:t>为</w:t>
      </w:r>
      <w:r>
        <w:rPr>
          <w:rFonts w:hint="eastAsia"/>
        </w:rPr>
        <w:t>外购</w:t>
      </w:r>
      <w:r>
        <w:t>电力</w:t>
      </w:r>
      <w:r>
        <w:rPr>
          <w:rFonts w:hint="eastAsia"/>
        </w:rPr>
        <w:t>。广东隆达</w:t>
      </w:r>
      <w:r>
        <w:t>熔炼炉</w:t>
      </w:r>
      <w:r>
        <w:rPr>
          <w:rFonts w:hint="eastAsia"/>
        </w:rPr>
        <w:t>烟气余热再利用</w:t>
      </w:r>
      <w:r>
        <w:t>，</w:t>
      </w:r>
      <w:r>
        <w:rPr>
          <w:rFonts w:hint="eastAsia"/>
        </w:rPr>
        <w:t>因此</w:t>
      </w:r>
      <w:r>
        <w:t>仅有</w:t>
      </w:r>
      <w:r>
        <w:rPr>
          <w:rFonts w:hint="eastAsia"/>
        </w:rPr>
        <w:t>外购</w:t>
      </w:r>
      <w:r>
        <w:t>电力</w:t>
      </w:r>
      <w:r>
        <w:rPr>
          <w:rFonts w:hint="eastAsia"/>
        </w:rPr>
        <w:t>的间接温室气体排放源，见</w:t>
      </w:r>
      <w:r>
        <w:t>下表</w:t>
      </w:r>
      <w:r>
        <w:rPr>
          <w:rFonts w:hint="eastAsia"/>
        </w:rPr>
        <w:t>。</w:t>
      </w:r>
    </w:p>
    <w:p>
      <w:pPr>
        <w:pStyle w:val="20"/>
        <w:numPr>
          <w:ilvl w:val="0"/>
          <w:numId w:val="2"/>
        </w:numPr>
        <w:ind w:left="-142" w:leftChars="-59" w:firstLine="0" w:firstLineChars="0"/>
        <w:jc w:val="center"/>
      </w:pPr>
      <w:r>
        <w:rPr>
          <w:rFonts w:hint="eastAsia"/>
        </w:rPr>
        <w:t>能源间接温室气体排放源</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58"/>
        <w:gridCol w:w="1696"/>
        <w:gridCol w:w="3143"/>
        <w:gridCol w:w="2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579" w:type="pct"/>
            <w:vAlign w:val="center"/>
          </w:tcPr>
          <w:p>
            <w:pPr>
              <w:spacing w:line="240" w:lineRule="auto"/>
              <w:ind w:firstLine="0" w:firstLineChars="0"/>
              <w:jc w:val="center"/>
              <w:rPr>
                <w:b/>
                <w:sz w:val="21"/>
                <w:szCs w:val="21"/>
              </w:rPr>
            </w:pPr>
            <w:r>
              <w:rPr>
                <w:rFonts w:hint="eastAsia"/>
                <w:b/>
                <w:sz w:val="21"/>
                <w:szCs w:val="21"/>
              </w:rPr>
              <w:t>序号</w:t>
            </w:r>
          </w:p>
        </w:tc>
        <w:tc>
          <w:tcPr>
            <w:tcW w:w="1024" w:type="pct"/>
            <w:vAlign w:val="center"/>
          </w:tcPr>
          <w:p>
            <w:pPr>
              <w:spacing w:line="240" w:lineRule="auto"/>
              <w:ind w:firstLine="0" w:firstLineChars="0"/>
              <w:jc w:val="center"/>
              <w:rPr>
                <w:b/>
                <w:sz w:val="21"/>
                <w:szCs w:val="21"/>
              </w:rPr>
            </w:pPr>
            <w:r>
              <w:rPr>
                <w:rFonts w:hint="eastAsia"/>
                <w:b/>
                <w:sz w:val="21"/>
                <w:szCs w:val="21"/>
              </w:rPr>
              <w:t>排放源</w:t>
            </w:r>
            <w:r>
              <w:rPr>
                <w:b/>
                <w:sz w:val="21"/>
                <w:szCs w:val="21"/>
              </w:rPr>
              <w:t>类型</w:t>
            </w:r>
          </w:p>
        </w:tc>
        <w:tc>
          <w:tcPr>
            <w:tcW w:w="1898" w:type="pct"/>
            <w:vAlign w:val="center"/>
          </w:tcPr>
          <w:p>
            <w:pPr>
              <w:spacing w:line="240" w:lineRule="auto"/>
              <w:ind w:firstLine="0" w:firstLineChars="0"/>
              <w:jc w:val="center"/>
              <w:rPr>
                <w:b/>
                <w:sz w:val="21"/>
                <w:szCs w:val="21"/>
              </w:rPr>
            </w:pPr>
            <w:r>
              <w:rPr>
                <w:rFonts w:hint="eastAsia"/>
                <w:b/>
                <w:sz w:val="21"/>
                <w:szCs w:val="21"/>
              </w:rPr>
              <w:t>活性类型</w:t>
            </w:r>
          </w:p>
        </w:tc>
        <w:tc>
          <w:tcPr>
            <w:tcW w:w="1498" w:type="pct"/>
            <w:vAlign w:val="center"/>
          </w:tcPr>
          <w:p>
            <w:pPr>
              <w:spacing w:line="240" w:lineRule="auto"/>
              <w:ind w:firstLine="0" w:firstLineChars="0"/>
              <w:jc w:val="center"/>
              <w:rPr>
                <w:b/>
                <w:sz w:val="21"/>
                <w:szCs w:val="21"/>
              </w:rPr>
            </w:pPr>
            <w:r>
              <w:rPr>
                <w:rFonts w:hint="eastAsia"/>
                <w:b/>
                <w:sz w:val="21"/>
                <w:szCs w:val="21"/>
              </w:rPr>
              <w:t>产生的温室气体种类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579" w:type="pct"/>
            <w:vAlign w:val="center"/>
          </w:tcPr>
          <w:p>
            <w:pPr>
              <w:spacing w:line="240" w:lineRule="auto"/>
              <w:ind w:firstLine="0" w:firstLineChars="0"/>
              <w:jc w:val="center"/>
              <w:rPr>
                <w:sz w:val="21"/>
                <w:szCs w:val="21"/>
              </w:rPr>
            </w:pPr>
            <w:r>
              <w:rPr>
                <w:rFonts w:hint="eastAsia"/>
                <w:sz w:val="21"/>
                <w:szCs w:val="21"/>
              </w:rPr>
              <w:t>1</w:t>
            </w:r>
          </w:p>
        </w:tc>
        <w:tc>
          <w:tcPr>
            <w:tcW w:w="1024" w:type="pct"/>
            <w:vAlign w:val="center"/>
          </w:tcPr>
          <w:p>
            <w:pPr>
              <w:spacing w:line="240" w:lineRule="auto"/>
              <w:ind w:firstLine="0" w:firstLineChars="0"/>
              <w:jc w:val="center"/>
              <w:rPr>
                <w:sz w:val="21"/>
                <w:szCs w:val="21"/>
              </w:rPr>
            </w:pPr>
            <w:r>
              <w:rPr>
                <w:rFonts w:hint="eastAsia"/>
                <w:sz w:val="21"/>
                <w:szCs w:val="21"/>
              </w:rPr>
              <w:t>外购电力</w:t>
            </w:r>
          </w:p>
        </w:tc>
        <w:tc>
          <w:tcPr>
            <w:tcW w:w="1898" w:type="pct"/>
            <w:vAlign w:val="center"/>
          </w:tcPr>
          <w:p>
            <w:pPr>
              <w:spacing w:line="240" w:lineRule="auto"/>
              <w:ind w:firstLine="0" w:firstLineChars="0"/>
              <w:jc w:val="center"/>
              <w:rPr>
                <w:sz w:val="21"/>
                <w:szCs w:val="21"/>
              </w:rPr>
            </w:pPr>
            <w:r>
              <w:rPr>
                <w:rFonts w:hint="eastAsia"/>
                <w:sz w:val="21"/>
                <w:szCs w:val="21"/>
              </w:rPr>
              <w:t>生产、办公、生活</w:t>
            </w:r>
          </w:p>
        </w:tc>
        <w:tc>
          <w:tcPr>
            <w:tcW w:w="1498" w:type="pct"/>
            <w:vAlign w:val="center"/>
          </w:tcPr>
          <w:p>
            <w:pPr>
              <w:spacing w:line="240" w:lineRule="auto"/>
              <w:ind w:firstLine="0" w:firstLineChars="0"/>
              <w:jc w:val="center"/>
              <w:rPr>
                <w:sz w:val="21"/>
                <w:szCs w:val="21"/>
              </w:rPr>
            </w:pPr>
            <w:r>
              <w:rPr>
                <w:sz w:val="21"/>
                <w:szCs w:val="21"/>
              </w:rPr>
              <w:t>CO</w:t>
            </w:r>
            <w:r>
              <w:rPr>
                <w:sz w:val="21"/>
                <w:szCs w:val="21"/>
                <w:vertAlign w:val="subscript"/>
              </w:rPr>
              <w:t>2</w:t>
            </w:r>
          </w:p>
        </w:tc>
      </w:tr>
    </w:tbl>
    <w:p>
      <w:pPr>
        <w:pStyle w:val="4"/>
      </w:pPr>
      <w:bookmarkStart w:id="39" w:name="_Toc3346"/>
      <w:r>
        <w:rPr>
          <w:rFonts w:hint="eastAsia"/>
        </w:rPr>
        <w:t>3.</w:t>
      </w:r>
      <w:r>
        <w:t>3</w:t>
      </w:r>
      <w:r>
        <w:rPr>
          <w:rFonts w:hint="eastAsia"/>
        </w:rPr>
        <w:t>.</w:t>
      </w:r>
      <w:r>
        <w:t xml:space="preserve">2 </w:t>
      </w:r>
      <w:r>
        <w:rPr>
          <w:rFonts w:hint="eastAsia"/>
        </w:rPr>
        <w:t>能源间接温室气体排放总量</w:t>
      </w:r>
      <w:bookmarkEnd w:id="39"/>
    </w:p>
    <w:p>
      <w:pPr>
        <w:ind w:firstLine="480"/>
      </w:pPr>
      <w:r>
        <w:rPr>
          <w:rFonts w:hint="eastAsia"/>
        </w:rPr>
        <w:t>广东隆达2023年度能源间接温室气体排放总计</w:t>
      </w:r>
      <w:r>
        <w:rPr>
          <w:rFonts w:hint="eastAsia"/>
          <w:lang w:val="en-US" w:eastAsia="zh-CN"/>
        </w:rPr>
        <w:t>1,772.48</w:t>
      </w:r>
      <w:r>
        <w:rPr>
          <w:rFonts w:hint="eastAsia"/>
        </w:rPr>
        <w:t>tCO</w:t>
      </w:r>
      <w:r>
        <w:rPr>
          <w:rFonts w:hint="eastAsia"/>
          <w:vertAlign w:val="subscript"/>
        </w:rPr>
        <w:t>2</w:t>
      </w:r>
      <w:r>
        <w:rPr>
          <w:rFonts w:hint="eastAsia"/>
        </w:rPr>
        <w:t>e，占温室气体总排放量的</w:t>
      </w:r>
      <w:r>
        <w:rPr>
          <w:rFonts w:hint="eastAsia"/>
          <w:lang w:val="en-US" w:eastAsia="zh-CN"/>
        </w:rPr>
        <w:t>0.65</w:t>
      </w:r>
      <w:r>
        <w:rPr>
          <w:rFonts w:hint="eastAsia"/>
        </w:rPr>
        <w:t>%。</w:t>
      </w:r>
    </w:p>
    <w:p>
      <w:pPr>
        <w:ind w:firstLine="480"/>
        <w:rPr>
          <w:rFonts w:ascii="宋体" w:hAnsi="宋体" w:cs="仿宋"/>
          <w:bCs/>
          <w:color w:val="FF0000"/>
          <w:kern w:val="0"/>
          <w:szCs w:val="21"/>
          <w:lang w:bidi="ar"/>
        </w:rPr>
      </w:pPr>
      <w:r>
        <w:rPr>
          <w:rFonts w:hint="eastAsia"/>
        </w:rPr>
        <w:t>广东隆达2023年度能源间接温室气体排放总量见</w:t>
      </w:r>
      <w:r>
        <w:t>下表。</w:t>
      </w:r>
    </w:p>
    <w:p>
      <w:pPr>
        <w:pStyle w:val="20"/>
        <w:numPr>
          <w:ilvl w:val="0"/>
          <w:numId w:val="2"/>
        </w:numPr>
        <w:ind w:left="-142" w:leftChars="-59" w:firstLine="0" w:firstLineChars="0"/>
        <w:jc w:val="center"/>
      </w:pPr>
      <w:r>
        <w:rPr>
          <w:rFonts w:hint="eastAsia"/>
        </w:rPr>
        <w:t>各种能源间接温室气体排放量（tCO2e）</w:t>
      </w:r>
    </w:p>
    <w:tbl>
      <w:tblPr>
        <w:tblStyle w:val="1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1687"/>
        <w:gridCol w:w="1687"/>
        <w:gridCol w:w="1687"/>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9" w:type="pct"/>
            <w:vAlign w:val="center"/>
          </w:tcPr>
          <w:p>
            <w:pPr>
              <w:spacing w:line="240" w:lineRule="auto"/>
              <w:ind w:firstLine="0" w:firstLineChars="0"/>
              <w:jc w:val="center"/>
              <w:rPr>
                <w:b/>
                <w:sz w:val="21"/>
                <w:szCs w:val="21"/>
              </w:rPr>
            </w:pPr>
            <w:r>
              <w:rPr>
                <w:rFonts w:hint="eastAsia"/>
                <w:b/>
                <w:sz w:val="21"/>
                <w:szCs w:val="21"/>
              </w:rPr>
              <w:t>类别</w:t>
            </w:r>
          </w:p>
        </w:tc>
        <w:tc>
          <w:tcPr>
            <w:tcW w:w="999" w:type="pct"/>
            <w:vAlign w:val="center"/>
          </w:tcPr>
          <w:p>
            <w:pPr>
              <w:spacing w:line="240" w:lineRule="auto"/>
              <w:ind w:firstLine="0" w:firstLineChars="0"/>
              <w:jc w:val="center"/>
              <w:rPr>
                <w:b/>
                <w:sz w:val="21"/>
                <w:szCs w:val="21"/>
              </w:rPr>
            </w:pPr>
            <w:r>
              <w:rPr>
                <w:b/>
                <w:sz w:val="21"/>
                <w:szCs w:val="21"/>
              </w:rPr>
              <w:t>CO</w:t>
            </w:r>
            <w:r>
              <w:rPr>
                <w:b/>
                <w:sz w:val="21"/>
                <w:szCs w:val="21"/>
                <w:vertAlign w:val="subscript"/>
              </w:rPr>
              <w:t>2</w:t>
            </w:r>
          </w:p>
        </w:tc>
        <w:tc>
          <w:tcPr>
            <w:tcW w:w="999" w:type="pct"/>
            <w:vAlign w:val="center"/>
          </w:tcPr>
          <w:p>
            <w:pPr>
              <w:spacing w:line="240" w:lineRule="auto"/>
              <w:ind w:firstLine="0" w:firstLineChars="0"/>
              <w:jc w:val="center"/>
              <w:rPr>
                <w:b/>
                <w:sz w:val="21"/>
                <w:szCs w:val="21"/>
              </w:rPr>
            </w:pPr>
            <w:r>
              <w:rPr>
                <w:b/>
                <w:sz w:val="21"/>
                <w:szCs w:val="21"/>
              </w:rPr>
              <w:t>CH</w:t>
            </w:r>
            <w:r>
              <w:rPr>
                <w:b/>
                <w:sz w:val="21"/>
                <w:szCs w:val="21"/>
                <w:vertAlign w:val="subscript"/>
              </w:rPr>
              <w:t>4</w:t>
            </w:r>
          </w:p>
        </w:tc>
        <w:tc>
          <w:tcPr>
            <w:tcW w:w="999" w:type="pct"/>
            <w:vAlign w:val="center"/>
          </w:tcPr>
          <w:p>
            <w:pPr>
              <w:spacing w:line="240" w:lineRule="auto"/>
              <w:ind w:firstLine="0" w:firstLineChars="0"/>
              <w:jc w:val="center"/>
              <w:rPr>
                <w:b/>
                <w:sz w:val="21"/>
                <w:szCs w:val="21"/>
              </w:rPr>
            </w:pPr>
            <w:r>
              <w:rPr>
                <w:b/>
                <w:sz w:val="21"/>
                <w:szCs w:val="21"/>
              </w:rPr>
              <w:t>N</w:t>
            </w:r>
            <w:r>
              <w:rPr>
                <w:b/>
                <w:sz w:val="21"/>
                <w:szCs w:val="21"/>
                <w:vertAlign w:val="subscript"/>
              </w:rPr>
              <w:t>2</w:t>
            </w:r>
            <w:r>
              <w:rPr>
                <w:b/>
                <w:sz w:val="21"/>
                <w:szCs w:val="21"/>
              </w:rPr>
              <w:t>O</w:t>
            </w:r>
          </w:p>
        </w:tc>
        <w:tc>
          <w:tcPr>
            <w:tcW w:w="1000" w:type="pct"/>
            <w:vAlign w:val="center"/>
          </w:tcPr>
          <w:p>
            <w:pPr>
              <w:spacing w:line="240" w:lineRule="auto"/>
              <w:ind w:firstLine="0" w:firstLineChars="0"/>
              <w:jc w:val="center"/>
              <w:rPr>
                <w:b/>
                <w:sz w:val="21"/>
                <w:szCs w:val="21"/>
              </w:rPr>
            </w:pPr>
            <w:r>
              <w:rPr>
                <w:rFonts w:hint="eastAsia"/>
                <w:b/>
                <w:sz w:val="21"/>
                <w:szCs w:val="21"/>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99" w:type="pct"/>
            <w:vAlign w:val="center"/>
          </w:tcPr>
          <w:p>
            <w:pPr>
              <w:spacing w:line="240" w:lineRule="auto"/>
              <w:ind w:firstLine="0" w:firstLineChars="0"/>
              <w:jc w:val="center"/>
              <w:rPr>
                <w:sz w:val="21"/>
                <w:szCs w:val="21"/>
              </w:rPr>
            </w:pPr>
            <w:r>
              <w:rPr>
                <w:rFonts w:hint="eastAsia"/>
                <w:sz w:val="21"/>
                <w:szCs w:val="21"/>
              </w:rPr>
              <w:t>外购电力</w:t>
            </w:r>
          </w:p>
        </w:tc>
        <w:tc>
          <w:tcPr>
            <w:tcW w:w="999" w:type="pct"/>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1,772.48</w:t>
            </w:r>
          </w:p>
        </w:tc>
        <w:tc>
          <w:tcPr>
            <w:tcW w:w="999" w:type="pct"/>
            <w:vAlign w:val="center"/>
          </w:tcPr>
          <w:p>
            <w:pPr>
              <w:spacing w:line="240" w:lineRule="auto"/>
              <w:ind w:firstLine="0" w:firstLineChars="0"/>
              <w:jc w:val="center"/>
              <w:rPr>
                <w:sz w:val="21"/>
                <w:szCs w:val="21"/>
              </w:rPr>
            </w:pPr>
            <w:r>
              <w:rPr>
                <w:rFonts w:hint="eastAsia"/>
                <w:sz w:val="21"/>
                <w:szCs w:val="21"/>
              </w:rPr>
              <w:t>0</w:t>
            </w:r>
          </w:p>
        </w:tc>
        <w:tc>
          <w:tcPr>
            <w:tcW w:w="999" w:type="pct"/>
            <w:vAlign w:val="center"/>
          </w:tcPr>
          <w:p>
            <w:pPr>
              <w:spacing w:line="240" w:lineRule="auto"/>
              <w:ind w:firstLine="0" w:firstLineChars="0"/>
              <w:jc w:val="center"/>
              <w:rPr>
                <w:sz w:val="21"/>
                <w:szCs w:val="21"/>
              </w:rPr>
            </w:pPr>
            <w:r>
              <w:rPr>
                <w:rFonts w:hint="eastAsia"/>
                <w:sz w:val="21"/>
                <w:szCs w:val="21"/>
              </w:rPr>
              <w:t>0</w:t>
            </w:r>
          </w:p>
        </w:tc>
        <w:tc>
          <w:tcPr>
            <w:tcW w:w="1000" w:type="pct"/>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1,772.48</w:t>
            </w:r>
          </w:p>
        </w:tc>
      </w:tr>
    </w:tbl>
    <w:p>
      <w:pPr>
        <w:pStyle w:val="3"/>
      </w:pPr>
      <w:bookmarkStart w:id="40" w:name="_Toc32498"/>
      <w:bookmarkStart w:id="41" w:name="_Toc32411"/>
      <w:r>
        <w:rPr>
          <w:rFonts w:hint="eastAsia"/>
        </w:rPr>
        <w:t>3.4其他温室气体的排放说明（类别3、类别4、类别5、类别6）</w:t>
      </w:r>
      <w:bookmarkEnd w:id="40"/>
      <w:bookmarkEnd w:id="41"/>
    </w:p>
    <w:p>
      <w:pPr>
        <w:ind w:firstLine="480"/>
      </w:pPr>
      <w:r>
        <w:rPr>
          <w:rFonts w:hint="eastAsia"/>
        </w:rPr>
        <w:t>类别3，交通运输间接温室气体排放，包括公司员工通勤、员工商务旅行、上下游货物运输/分配。广东隆达2023年</w:t>
      </w:r>
      <w:r>
        <w:rPr>
          <w:rFonts w:hint="eastAsia"/>
          <w:lang w:val="en-US" w:eastAsia="zh-CN"/>
        </w:rPr>
        <w:t>类别3</w:t>
      </w:r>
      <w:r>
        <w:rPr>
          <w:rFonts w:hint="eastAsia"/>
        </w:rPr>
        <w:t>总计排放量为</w:t>
      </w:r>
      <w:r>
        <w:rPr>
          <w:rFonts w:hint="eastAsia"/>
          <w:lang w:val="en-US" w:eastAsia="zh-CN"/>
        </w:rPr>
        <w:t>1,501.23</w:t>
      </w:r>
      <w:r>
        <w:rPr>
          <w:rFonts w:hint="eastAsia"/>
        </w:rPr>
        <w:t>tCO</w:t>
      </w:r>
      <w:r>
        <w:rPr>
          <w:rFonts w:hint="eastAsia"/>
          <w:vertAlign w:val="subscript"/>
        </w:rPr>
        <w:t>2</w:t>
      </w:r>
      <w:r>
        <w:rPr>
          <w:rFonts w:hint="eastAsia"/>
        </w:rPr>
        <w:t>e，占全部排放的</w:t>
      </w:r>
      <w:r>
        <w:rPr>
          <w:rFonts w:hint="eastAsia"/>
          <w:lang w:val="en-US" w:eastAsia="zh-CN"/>
        </w:rPr>
        <w:t>0.55</w:t>
      </w:r>
      <w:r>
        <w:rPr>
          <w:rFonts w:hint="eastAsia"/>
        </w:rPr>
        <w:t>%。其他交通运输间接排放源，例如客户和访客的来访等，由于排放源是由其它公司所拥有或控制的。因不易量化，只作定性说明，不作量化。</w:t>
      </w:r>
    </w:p>
    <w:p>
      <w:pPr>
        <w:pStyle w:val="20"/>
        <w:numPr>
          <w:ilvl w:val="0"/>
          <w:numId w:val="2"/>
        </w:numPr>
        <w:ind w:left="-142" w:leftChars="-59" w:firstLine="0" w:firstLineChars="0"/>
        <w:jc w:val="center"/>
      </w:pPr>
      <w:r>
        <w:rPr>
          <w:rFonts w:hint="eastAsia"/>
        </w:rPr>
        <w:t>运输间接温室气体排放量</w:t>
      </w:r>
    </w:p>
    <w:tbl>
      <w:tblPr>
        <w:tblStyle w:val="10"/>
        <w:tblW w:w="50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67"/>
        <w:gridCol w:w="1746"/>
        <w:gridCol w:w="2768"/>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709" w:type="pct"/>
            <w:shd w:val="clear" w:color="auto" w:fill="auto"/>
            <w:noWrap/>
            <w:vAlign w:val="center"/>
          </w:tcPr>
          <w:p>
            <w:pPr>
              <w:pStyle w:val="28"/>
              <w:rPr>
                <w:b/>
                <w:bCs/>
              </w:rPr>
            </w:pPr>
            <w:r>
              <w:rPr>
                <w:rFonts w:hint="eastAsia"/>
                <w:b/>
                <w:bCs/>
              </w:rPr>
              <w:t>类型</w:t>
            </w:r>
          </w:p>
        </w:tc>
        <w:tc>
          <w:tcPr>
            <w:tcW w:w="928" w:type="pct"/>
            <w:shd w:val="clear" w:color="auto" w:fill="auto"/>
            <w:noWrap/>
            <w:vAlign w:val="center"/>
          </w:tcPr>
          <w:p>
            <w:pPr>
              <w:pStyle w:val="28"/>
              <w:rPr>
                <w:b/>
                <w:bCs/>
              </w:rPr>
            </w:pPr>
            <w:r>
              <w:rPr>
                <w:rFonts w:hint="eastAsia"/>
                <w:b/>
                <w:bCs/>
              </w:rPr>
              <w:t>方式</w:t>
            </w:r>
          </w:p>
        </w:tc>
        <w:tc>
          <w:tcPr>
            <w:tcW w:w="1034" w:type="pct"/>
            <w:shd w:val="clear" w:color="auto" w:fill="auto"/>
            <w:noWrap/>
            <w:vAlign w:val="center"/>
          </w:tcPr>
          <w:p>
            <w:pPr>
              <w:pStyle w:val="28"/>
              <w:rPr>
                <w:b/>
                <w:bCs/>
                <w:lang w:eastAsia="zh-CN"/>
              </w:rPr>
            </w:pPr>
            <w:r>
              <w:rPr>
                <w:rFonts w:hint="eastAsia"/>
                <w:b/>
                <w:bCs/>
                <w:lang w:eastAsia="zh-CN"/>
              </w:rPr>
              <w:t>数据</w:t>
            </w:r>
          </w:p>
          <w:p>
            <w:pPr>
              <w:pStyle w:val="28"/>
              <w:rPr>
                <w:b/>
                <w:bCs/>
                <w:lang w:eastAsia="zh-CN"/>
              </w:rPr>
            </w:pPr>
            <w:r>
              <w:rPr>
                <w:rFonts w:hint="eastAsia"/>
                <w:b/>
                <w:bCs/>
                <w:lang w:eastAsia="zh-CN"/>
              </w:rPr>
              <w:t>（人·千米）or</w:t>
            </w:r>
          </w:p>
          <w:p>
            <w:pPr>
              <w:pStyle w:val="28"/>
              <w:rPr>
                <w:b/>
                <w:bCs/>
                <w:lang w:eastAsia="zh-CN"/>
              </w:rPr>
            </w:pPr>
            <w:r>
              <w:rPr>
                <w:rFonts w:hint="eastAsia"/>
                <w:b/>
                <w:bCs/>
                <w:lang w:eastAsia="zh-CN"/>
              </w:rPr>
              <w:t>（吨·千米）</w:t>
            </w:r>
          </w:p>
        </w:tc>
        <w:tc>
          <w:tcPr>
            <w:tcW w:w="1639" w:type="pct"/>
            <w:vAlign w:val="center"/>
          </w:tcPr>
          <w:p>
            <w:pPr>
              <w:pStyle w:val="28"/>
              <w:rPr>
                <w:b/>
                <w:bCs/>
              </w:rPr>
            </w:pPr>
            <w:r>
              <w:rPr>
                <w:rFonts w:hint="eastAsia"/>
                <w:b/>
                <w:bCs/>
              </w:rPr>
              <w:t>排放因子</w:t>
            </w:r>
          </w:p>
          <w:p>
            <w:pPr>
              <w:pStyle w:val="28"/>
              <w:rPr>
                <w:b/>
                <w:bCs/>
              </w:rPr>
            </w:pPr>
            <w:r>
              <w:rPr>
                <w:rFonts w:hint="eastAsia"/>
                <w:b/>
                <w:bCs/>
              </w:rPr>
              <w:t>（kg</w:t>
            </w:r>
            <w:r>
              <w:rPr>
                <w:b/>
                <w:bCs/>
              </w:rPr>
              <w:t>CO</w:t>
            </w:r>
            <w:r>
              <w:rPr>
                <w:b/>
                <w:bCs/>
                <w:vertAlign w:val="subscript"/>
              </w:rPr>
              <w:t>2</w:t>
            </w:r>
            <w:r>
              <w:rPr>
                <w:b/>
                <w:bCs/>
              </w:rPr>
              <w:t>e</w:t>
            </w:r>
            <w:r>
              <w:rPr>
                <w:rFonts w:hint="eastAsia"/>
                <w:b/>
                <w:bCs/>
              </w:rPr>
              <w:t>/</w:t>
            </w:r>
            <w:r>
              <w:rPr>
                <w:b/>
                <w:bCs/>
              </w:rPr>
              <w:t>(</w:t>
            </w:r>
            <w:r>
              <w:rPr>
                <w:rFonts w:hint="eastAsia"/>
                <w:b/>
                <w:bCs/>
                <w:lang w:eastAsia="zh-CN"/>
              </w:rPr>
              <w:t>人·千米</w:t>
            </w:r>
            <w:r>
              <w:rPr>
                <w:b/>
                <w:bCs/>
              </w:rPr>
              <w:t>)</w:t>
            </w:r>
            <w:r>
              <w:rPr>
                <w:rFonts w:hint="eastAsia"/>
                <w:b/>
                <w:bCs/>
              </w:rPr>
              <w:t>）</w:t>
            </w:r>
            <w:r>
              <w:rPr>
                <w:b/>
                <w:bCs/>
              </w:rPr>
              <w:t>or</w:t>
            </w:r>
            <w:r>
              <w:rPr>
                <w:rFonts w:hint="eastAsia"/>
                <w:b/>
                <w:bCs/>
              </w:rPr>
              <w:t>（kg</w:t>
            </w:r>
            <w:r>
              <w:rPr>
                <w:b/>
                <w:bCs/>
              </w:rPr>
              <w:t>CO</w:t>
            </w:r>
            <w:r>
              <w:rPr>
                <w:b/>
                <w:bCs/>
                <w:vertAlign w:val="subscript"/>
              </w:rPr>
              <w:t>2</w:t>
            </w:r>
            <w:r>
              <w:rPr>
                <w:b/>
                <w:bCs/>
              </w:rPr>
              <w:t>e</w:t>
            </w:r>
            <w:r>
              <w:rPr>
                <w:rFonts w:hint="eastAsia"/>
                <w:b/>
                <w:bCs/>
              </w:rPr>
              <w:t>/</w:t>
            </w:r>
            <w:r>
              <w:rPr>
                <w:b/>
                <w:bCs/>
              </w:rPr>
              <w:t>(</w:t>
            </w:r>
            <w:r>
              <w:rPr>
                <w:rFonts w:hint="eastAsia"/>
                <w:b/>
                <w:bCs/>
                <w:lang w:eastAsia="zh-CN"/>
              </w:rPr>
              <w:t>吨·千米</w:t>
            </w:r>
            <w:r>
              <w:rPr>
                <w:b/>
                <w:bCs/>
              </w:rPr>
              <w:t>)</w:t>
            </w:r>
            <w:r>
              <w:rPr>
                <w:rFonts w:hint="eastAsia"/>
                <w:b/>
                <w:bCs/>
              </w:rPr>
              <w:t>）</w:t>
            </w:r>
          </w:p>
        </w:tc>
        <w:tc>
          <w:tcPr>
            <w:tcW w:w="687" w:type="pct"/>
            <w:shd w:val="clear" w:color="auto" w:fill="auto"/>
            <w:vAlign w:val="center"/>
          </w:tcPr>
          <w:p>
            <w:pPr>
              <w:pStyle w:val="28"/>
              <w:rPr>
                <w:b/>
                <w:bCs/>
              </w:rPr>
            </w:pPr>
            <w:r>
              <w:rPr>
                <w:rFonts w:hint="eastAsia"/>
                <w:b/>
                <w:bCs/>
              </w:rPr>
              <w:t>排放量</w:t>
            </w:r>
            <w:r>
              <w:rPr>
                <w:rFonts w:hint="eastAsia"/>
                <w:b/>
                <w:bCs/>
                <w:lang w:eastAsia="zh-CN"/>
              </w:rPr>
              <w:t>（</w:t>
            </w:r>
            <w:r>
              <w:rPr>
                <w:rFonts w:hint="eastAsia"/>
                <w:b/>
                <w:bCs/>
              </w:rPr>
              <w:t>t</w:t>
            </w:r>
            <w:r>
              <w:rPr>
                <w:b/>
                <w:bCs/>
              </w:rPr>
              <w:t>CO</w:t>
            </w:r>
            <w:r>
              <w:rPr>
                <w:b/>
                <w:bCs/>
                <w:vertAlign w:val="subscript"/>
              </w:rPr>
              <w:t>2</w:t>
            </w:r>
            <w:r>
              <w:rPr>
                <w:b/>
                <w:bCs/>
              </w:rPr>
              <w:t>e</w:t>
            </w:r>
            <w:r>
              <w:rPr>
                <w:rFonts w:hint="eastAsia"/>
                <w:b/>
                <w:bCs/>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9" w:type="pct"/>
            <w:vMerge w:val="restart"/>
            <w:shd w:val="clear" w:color="auto" w:fill="auto"/>
            <w:noWrap/>
            <w:vAlign w:val="center"/>
          </w:tcPr>
          <w:p>
            <w:pPr>
              <w:pStyle w:val="28"/>
              <w:rPr>
                <w:rFonts w:ascii="宋体" w:hAnsi="宋体" w:cs="宋体"/>
                <w:color w:val="000000"/>
                <w:szCs w:val="21"/>
              </w:rPr>
            </w:pPr>
            <w:r>
              <w:rPr>
                <w:rFonts w:hint="eastAsia" w:ascii="宋体" w:hAnsi="宋体" w:cs="宋体"/>
                <w:color w:val="000000"/>
                <w:szCs w:val="21"/>
                <w:lang w:val="en-US" w:eastAsia="zh-CN"/>
              </w:rPr>
              <w:t>原材料</w:t>
            </w:r>
            <w:r>
              <w:rPr>
                <w:rFonts w:hint="eastAsia" w:ascii="宋体" w:hAnsi="宋体" w:cs="宋体"/>
                <w:color w:val="000000"/>
                <w:szCs w:val="21"/>
              </w:rPr>
              <w:t>运输</w:t>
            </w:r>
          </w:p>
        </w:tc>
        <w:tc>
          <w:tcPr>
            <w:tcW w:w="928" w:type="pct"/>
            <w:shd w:val="clear" w:color="auto" w:fill="auto"/>
            <w:noWrap/>
            <w:vAlign w:val="center"/>
          </w:tcPr>
          <w:p>
            <w:pPr>
              <w:pStyle w:val="28"/>
              <w:ind w:firstLine="0" w:firstLineChars="0"/>
              <w:rPr>
                <w:rFonts w:ascii="Times New Roman" w:hAnsi="Times New Roman" w:eastAsia="宋体" w:cs="Times New Roman"/>
                <w:color w:val="000000"/>
                <w:kern w:val="0"/>
                <w:sz w:val="21"/>
                <w:szCs w:val="21"/>
                <w:lang w:val="en-US" w:eastAsia="zh-CN" w:bidi="ar-SA"/>
              </w:rPr>
            </w:pPr>
            <w:r>
              <w:rPr>
                <w:rFonts w:cs="Times New Roman"/>
                <w:color w:val="000000"/>
                <w:szCs w:val="21"/>
                <w:lang w:eastAsia="zh-CN"/>
              </w:rPr>
              <w:t>重型货车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14,337,127.36</w:t>
            </w:r>
          </w:p>
        </w:tc>
        <w:tc>
          <w:tcPr>
            <w:tcW w:w="1639" w:type="pct"/>
            <w:vAlign w:val="center"/>
          </w:tcPr>
          <w:p>
            <w:pPr>
              <w:pStyle w:val="28"/>
              <w:ind w:firstLine="0" w:firstLineChars="0"/>
              <w:rPr>
                <w:rFonts w:ascii="Times New Roman" w:hAnsi="Times New Roman" w:eastAsia="宋体" w:cs="Times New Roman"/>
                <w:color w:val="000000"/>
                <w:kern w:val="0"/>
                <w:sz w:val="21"/>
                <w:szCs w:val="21"/>
                <w:lang w:val="en-US" w:eastAsia="zh-CN" w:bidi="ar-SA"/>
              </w:rPr>
            </w:pPr>
            <w:r>
              <w:rPr>
                <w:rFonts w:hint="eastAsia" w:cs="Times New Roman"/>
                <w:color w:val="000000"/>
                <w:szCs w:val="21"/>
                <w:lang w:eastAsia="zh-CN"/>
              </w:rPr>
              <w:t>0</w:t>
            </w:r>
            <w:r>
              <w:rPr>
                <w:rFonts w:cs="Times New Roman"/>
                <w:color w:val="000000"/>
                <w:szCs w:val="21"/>
                <w:lang w:eastAsia="zh-CN"/>
              </w:rPr>
              <w:t>.049</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702.52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rPr>
                <w:rFonts w:ascii="宋体" w:hAnsi="宋体" w:cs="宋体"/>
                <w:color w:val="000000"/>
                <w:szCs w:val="21"/>
              </w:rPr>
            </w:pPr>
          </w:p>
        </w:tc>
        <w:tc>
          <w:tcPr>
            <w:tcW w:w="928" w:type="pct"/>
            <w:shd w:val="clear" w:color="auto" w:fill="auto"/>
            <w:noWrap/>
            <w:vAlign w:val="center"/>
          </w:tcPr>
          <w:p>
            <w:pPr>
              <w:pStyle w:val="28"/>
              <w:ind w:firstLine="0" w:firstLineChars="0"/>
              <w:rPr>
                <w:rFonts w:ascii="Times New Roman" w:hAnsi="Times New Roman" w:eastAsia="宋体" w:cs="Times New Roman"/>
                <w:color w:val="000000"/>
                <w:kern w:val="0"/>
                <w:sz w:val="21"/>
                <w:szCs w:val="21"/>
                <w:lang w:val="en-US" w:eastAsia="zh-CN" w:bidi="ar-SA"/>
              </w:rPr>
            </w:pPr>
            <w:r>
              <w:rPr>
                <w:rFonts w:cs="Times New Roman"/>
                <w:color w:val="000000"/>
                <w:szCs w:val="21"/>
                <w:lang w:eastAsia="zh-CN"/>
              </w:rPr>
              <w:t>中型货车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300,841.85 </w:t>
            </w:r>
          </w:p>
        </w:tc>
        <w:tc>
          <w:tcPr>
            <w:tcW w:w="1639" w:type="pct"/>
            <w:vAlign w:val="center"/>
          </w:tcPr>
          <w:p>
            <w:pPr>
              <w:pStyle w:val="28"/>
              <w:ind w:firstLine="0" w:firstLineChars="0"/>
              <w:rPr>
                <w:rFonts w:hint="eastAsia" w:ascii="Times New Roman" w:hAnsi="Times New Roman" w:eastAsia="宋体" w:cs="Times New Roman"/>
                <w:color w:val="000000"/>
                <w:kern w:val="0"/>
                <w:sz w:val="21"/>
                <w:szCs w:val="21"/>
                <w:lang w:val="en-US" w:eastAsia="zh-CN" w:bidi="ar-SA"/>
              </w:rPr>
            </w:pPr>
            <w:r>
              <w:rPr>
                <w:rFonts w:cs="Times New Roman"/>
                <w:color w:val="000000"/>
                <w:szCs w:val="21"/>
                <w:lang w:eastAsia="zh-CN"/>
              </w:rPr>
              <w:t>0.04</w:t>
            </w:r>
            <w:r>
              <w:rPr>
                <w:rFonts w:hint="eastAsia" w:cs="Times New Roman"/>
                <w:color w:val="000000"/>
                <w:szCs w:val="21"/>
                <w:lang w:val="en-US" w:eastAsia="zh-CN"/>
              </w:rPr>
              <w:t>1</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rPr>
                <w:rFonts w:ascii="宋体" w:hAnsi="宋体" w:cs="宋体"/>
                <w:color w:val="000000"/>
                <w:szCs w:val="21"/>
              </w:rPr>
            </w:pPr>
          </w:p>
        </w:tc>
        <w:tc>
          <w:tcPr>
            <w:tcW w:w="928" w:type="pct"/>
            <w:shd w:val="clear" w:color="auto" w:fill="auto"/>
            <w:noWrap/>
            <w:vAlign w:val="center"/>
          </w:tcPr>
          <w:p>
            <w:pPr>
              <w:pStyle w:val="28"/>
              <w:ind w:firstLine="0" w:firstLineChars="0"/>
              <w:rPr>
                <w:rFonts w:ascii="宋体" w:hAnsi="宋体" w:eastAsia="宋体" w:cs="宋体"/>
                <w:color w:val="000000"/>
                <w:kern w:val="0"/>
                <w:sz w:val="21"/>
                <w:szCs w:val="21"/>
                <w:lang w:val="en-US" w:eastAsia="zh-CN" w:bidi="ar-SA"/>
              </w:rPr>
            </w:pPr>
            <w:r>
              <w:rPr>
                <w:rFonts w:hint="eastAsia" w:ascii="宋体" w:hAnsi="宋体" w:cs="宋体"/>
                <w:color w:val="000000"/>
                <w:szCs w:val="21"/>
                <w:lang w:eastAsia="zh-CN"/>
              </w:rPr>
              <w:t>海运</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1,942,183.20 </w:t>
            </w:r>
          </w:p>
        </w:tc>
        <w:tc>
          <w:tcPr>
            <w:tcW w:w="1639" w:type="pct"/>
            <w:vAlign w:val="center"/>
          </w:tcPr>
          <w:p>
            <w:pPr>
              <w:pStyle w:val="28"/>
              <w:ind w:firstLine="0" w:firstLineChars="0"/>
              <w:rPr>
                <w:rFonts w:hint="eastAsia" w:ascii="Times New Roman" w:hAnsi="Times New Roman" w:eastAsia="宋体" w:cs="Times New Roman"/>
                <w:kern w:val="0"/>
                <w:sz w:val="21"/>
                <w:szCs w:val="21"/>
                <w:lang w:val="en-US" w:eastAsia="zh-CN" w:bidi="ar-SA"/>
              </w:rPr>
            </w:pPr>
            <w:r>
              <w:rPr>
                <w:szCs w:val="21"/>
                <w:lang w:eastAsia="zh-CN"/>
              </w:rPr>
              <w:t>0.01</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19.42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shd w:val="clear" w:color="auto" w:fill="auto"/>
            <w:noWrap/>
            <w:vAlign w:val="center"/>
          </w:tcPr>
          <w:p>
            <w:pPr>
              <w:pStyle w:val="28"/>
              <w:rPr>
                <w:rFonts w:hint="default" w:ascii="宋体" w:hAnsi="宋体" w:cs="宋体"/>
                <w:color w:val="000000"/>
                <w:szCs w:val="21"/>
                <w:lang w:val="en-US" w:eastAsia="zh-CN"/>
              </w:rPr>
            </w:pPr>
            <w:r>
              <w:rPr>
                <w:rFonts w:hint="eastAsia" w:ascii="宋体" w:hAnsi="宋体" w:cs="宋体"/>
                <w:color w:val="000000"/>
                <w:szCs w:val="21"/>
                <w:lang w:val="en-US" w:eastAsia="zh-CN"/>
              </w:rPr>
              <w:t>废弃物运输</w:t>
            </w:r>
          </w:p>
        </w:tc>
        <w:tc>
          <w:tcPr>
            <w:tcW w:w="928" w:type="pct"/>
            <w:shd w:val="clear" w:color="auto" w:fill="auto"/>
            <w:noWrap/>
            <w:vAlign w:val="center"/>
          </w:tcPr>
          <w:p>
            <w:pPr>
              <w:pStyle w:val="28"/>
              <w:ind w:firstLine="0" w:firstLineChars="0"/>
              <w:rPr>
                <w:rFonts w:hint="eastAsia" w:ascii="Times New Roman" w:hAnsi="Times New Roman" w:eastAsia="宋体" w:cs="Times New Roman"/>
                <w:color w:val="000000"/>
                <w:kern w:val="0"/>
                <w:sz w:val="21"/>
                <w:szCs w:val="21"/>
                <w:lang w:val="en-US" w:eastAsia="zh-CN" w:bidi="ar-SA"/>
              </w:rPr>
            </w:pPr>
            <w:r>
              <w:rPr>
                <w:rFonts w:cs="Times New Roman"/>
                <w:color w:val="000000"/>
                <w:szCs w:val="21"/>
                <w:lang w:eastAsia="zh-CN"/>
              </w:rPr>
              <w:t>重型货车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2,582,401.80 </w:t>
            </w:r>
          </w:p>
        </w:tc>
        <w:tc>
          <w:tcPr>
            <w:tcW w:w="1639" w:type="pct"/>
            <w:vAlign w:val="center"/>
          </w:tcPr>
          <w:p>
            <w:pPr>
              <w:pStyle w:val="28"/>
              <w:ind w:firstLine="0" w:firstLineChars="0"/>
              <w:rPr>
                <w:rFonts w:hint="eastAsia" w:ascii="Times New Roman" w:hAnsi="Times New Roman" w:eastAsia="宋体" w:cs="Times New Roman"/>
                <w:color w:val="000000"/>
                <w:kern w:val="0"/>
                <w:sz w:val="21"/>
                <w:szCs w:val="21"/>
                <w:lang w:val="en-US" w:eastAsia="zh-CN" w:bidi="ar-SA"/>
              </w:rPr>
            </w:pPr>
            <w:r>
              <w:rPr>
                <w:rFonts w:hint="eastAsia" w:cs="Times New Roman"/>
                <w:color w:val="000000"/>
                <w:szCs w:val="21"/>
                <w:lang w:eastAsia="zh-CN"/>
              </w:rPr>
              <w:t>0</w:t>
            </w:r>
            <w:r>
              <w:rPr>
                <w:rFonts w:cs="Times New Roman"/>
                <w:color w:val="000000"/>
                <w:szCs w:val="21"/>
                <w:lang w:eastAsia="zh-CN"/>
              </w:rPr>
              <w:t>.049</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126.54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709" w:type="pct"/>
            <w:shd w:val="clear" w:color="auto" w:fill="auto"/>
            <w:noWrap/>
            <w:vAlign w:val="center"/>
          </w:tcPr>
          <w:p>
            <w:pPr>
              <w:pStyle w:val="28"/>
              <w:rPr>
                <w:rFonts w:hint="default" w:ascii="宋体" w:hAnsi="宋体" w:cs="宋体"/>
                <w:color w:val="000000"/>
                <w:szCs w:val="21"/>
                <w:lang w:val="en-US" w:eastAsia="zh-CN"/>
              </w:rPr>
            </w:pPr>
            <w:r>
              <w:rPr>
                <w:rFonts w:hint="eastAsia" w:ascii="宋体" w:hAnsi="宋体" w:cs="宋体"/>
                <w:color w:val="000000"/>
                <w:szCs w:val="21"/>
                <w:lang w:val="en-US" w:eastAsia="zh-CN"/>
              </w:rPr>
              <w:t>产品运输</w:t>
            </w:r>
          </w:p>
        </w:tc>
        <w:tc>
          <w:tcPr>
            <w:tcW w:w="928" w:type="pct"/>
            <w:shd w:val="clear" w:color="auto" w:fill="auto"/>
            <w:noWrap/>
            <w:vAlign w:val="center"/>
          </w:tcPr>
          <w:p>
            <w:pPr>
              <w:pStyle w:val="28"/>
              <w:ind w:firstLine="0" w:firstLineChars="0"/>
              <w:rPr>
                <w:rFonts w:hint="eastAsia" w:ascii="Times New Roman" w:hAnsi="Times New Roman" w:eastAsia="宋体" w:cs="Times New Roman"/>
                <w:color w:val="000000"/>
                <w:kern w:val="0"/>
                <w:sz w:val="21"/>
                <w:szCs w:val="21"/>
                <w:lang w:val="en-US" w:eastAsia="zh-CN" w:bidi="ar-SA"/>
              </w:rPr>
            </w:pPr>
            <w:r>
              <w:rPr>
                <w:rFonts w:cs="Times New Roman"/>
                <w:color w:val="000000"/>
                <w:szCs w:val="21"/>
                <w:lang w:eastAsia="zh-CN"/>
              </w:rPr>
              <w:t>重型货车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12,507,080.42 </w:t>
            </w:r>
          </w:p>
        </w:tc>
        <w:tc>
          <w:tcPr>
            <w:tcW w:w="1639" w:type="pct"/>
            <w:vAlign w:val="center"/>
          </w:tcPr>
          <w:p>
            <w:pPr>
              <w:pStyle w:val="28"/>
              <w:ind w:firstLine="0" w:firstLineChars="0"/>
              <w:rPr>
                <w:rFonts w:hint="eastAsia" w:ascii="Times New Roman" w:hAnsi="Times New Roman" w:eastAsia="宋体" w:cs="Times New Roman"/>
                <w:color w:val="000000"/>
                <w:kern w:val="0"/>
                <w:sz w:val="21"/>
                <w:szCs w:val="21"/>
                <w:lang w:val="en-US" w:eastAsia="zh-CN" w:bidi="ar-SA"/>
              </w:rPr>
            </w:pPr>
            <w:r>
              <w:rPr>
                <w:rFonts w:hint="eastAsia" w:cs="Times New Roman"/>
                <w:color w:val="000000"/>
                <w:szCs w:val="21"/>
                <w:lang w:eastAsia="zh-CN"/>
              </w:rPr>
              <w:t>0</w:t>
            </w:r>
            <w:r>
              <w:rPr>
                <w:rFonts w:cs="Times New Roman"/>
                <w:color w:val="000000"/>
                <w:szCs w:val="21"/>
                <w:lang w:eastAsia="zh-CN"/>
              </w:rPr>
              <w:t>.049</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612.85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restart"/>
            <w:shd w:val="clear" w:color="auto" w:fill="auto"/>
            <w:noWrap/>
            <w:vAlign w:val="center"/>
          </w:tcPr>
          <w:p>
            <w:pPr>
              <w:pStyle w:val="28"/>
              <w:ind w:firstLine="0" w:firstLineChars="0"/>
              <w:rPr>
                <w:rFonts w:hint="eastAsia" w:ascii="宋体" w:hAnsi="宋体" w:cs="宋体"/>
                <w:color w:val="000000"/>
                <w:szCs w:val="21"/>
                <w:lang w:val="en-US" w:eastAsia="zh-CN"/>
              </w:rPr>
            </w:pPr>
            <w:r>
              <w:rPr>
                <w:rFonts w:hint="eastAsia" w:ascii="宋体" w:hAnsi="宋体" w:cs="宋体"/>
                <w:color w:val="000000"/>
                <w:szCs w:val="21"/>
              </w:rPr>
              <w:t>通勤</w:t>
            </w:r>
          </w:p>
        </w:tc>
        <w:tc>
          <w:tcPr>
            <w:tcW w:w="928" w:type="pct"/>
            <w:shd w:val="clear" w:color="auto" w:fill="auto"/>
            <w:noWrap/>
            <w:vAlign w:val="center"/>
          </w:tcPr>
          <w:p>
            <w:pPr>
              <w:pStyle w:val="28"/>
              <w:ind w:firstLine="0" w:firstLineChars="0"/>
              <w:rPr>
                <w:rFonts w:cs="Times New Roman"/>
                <w:color w:val="000000"/>
                <w:szCs w:val="21"/>
                <w:lang w:eastAsia="zh-CN"/>
              </w:rPr>
            </w:pPr>
            <w:r>
              <w:rPr>
                <w:rFonts w:hint="eastAsia"/>
                <w:color w:val="000000"/>
                <w:szCs w:val="21"/>
                <w:lang w:val="en-US" w:eastAsia="zh-CN"/>
              </w:rPr>
              <w:t>汽</w:t>
            </w:r>
            <w:r>
              <w:rPr>
                <w:rFonts w:hint="eastAsia"/>
                <w:color w:val="000000"/>
                <w:szCs w:val="21"/>
                <w:lang w:eastAsia="zh-CN"/>
              </w:rPr>
              <w:t>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164,468.05 </w:t>
            </w:r>
          </w:p>
        </w:tc>
        <w:tc>
          <w:tcPr>
            <w:tcW w:w="1639" w:type="pct"/>
            <w:vAlign w:val="center"/>
          </w:tcPr>
          <w:p>
            <w:pPr>
              <w:widowControl/>
              <w:spacing w:line="240" w:lineRule="auto"/>
              <w:ind w:firstLine="0" w:firstLineChars="0"/>
              <w:jc w:val="center"/>
              <w:rPr>
                <w:rFonts w:hint="eastAsia" w:cs="Times New Roman"/>
                <w:color w:val="000000"/>
                <w:szCs w:val="21"/>
                <w:lang w:eastAsia="zh-CN"/>
              </w:rPr>
            </w:pPr>
            <w:r>
              <w:rPr>
                <w:rFonts w:hint="eastAsia"/>
                <w:color w:val="000000"/>
                <w:sz w:val="21"/>
                <w:szCs w:val="21"/>
              </w:rPr>
              <w:t>0.041</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ind w:firstLine="0" w:firstLineChars="0"/>
              <w:rPr>
                <w:rFonts w:hint="eastAsia" w:ascii="宋体" w:hAnsi="宋体" w:cs="宋体"/>
                <w:color w:val="000000"/>
                <w:szCs w:val="21"/>
              </w:rPr>
            </w:pPr>
          </w:p>
        </w:tc>
        <w:tc>
          <w:tcPr>
            <w:tcW w:w="928" w:type="pct"/>
            <w:shd w:val="clear" w:color="auto" w:fill="auto"/>
            <w:noWrap/>
            <w:vAlign w:val="center"/>
          </w:tcPr>
          <w:p>
            <w:pPr>
              <w:pStyle w:val="28"/>
              <w:ind w:firstLine="0" w:firstLineChars="0"/>
              <w:rPr>
                <w:rFonts w:hint="default"/>
                <w:color w:val="000000"/>
                <w:szCs w:val="21"/>
                <w:lang w:val="en-US" w:eastAsia="zh-CN"/>
              </w:rPr>
            </w:pPr>
            <w:r>
              <w:rPr>
                <w:rFonts w:hint="eastAsia"/>
                <w:color w:val="000000"/>
                <w:szCs w:val="21"/>
                <w:lang w:val="en-US" w:eastAsia="zh-CN"/>
              </w:rPr>
              <w:t>新能源汽车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14,224.00 </w:t>
            </w:r>
          </w:p>
        </w:tc>
        <w:tc>
          <w:tcPr>
            <w:tcW w:w="1639" w:type="pct"/>
            <w:vAlign w:val="center"/>
          </w:tcPr>
          <w:p>
            <w:pPr>
              <w:widowControl/>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0.017</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ind w:firstLine="0" w:firstLineChars="0"/>
              <w:rPr>
                <w:rFonts w:hint="eastAsia" w:ascii="宋体" w:hAnsi="宋体" w:cs="宋体"/>
                <w:color w:val="000000"/>
                <w:szCs w:val="21"/>
                <w:lang w:val="en-US" w:eastAsia="zh-CN"/>
              </w:rPr>
            </w:pPr>
          </w:p>
        </w:tc>
        <w:tc>
          <w:tcPr>
            <w:tcW w:w="928" w:type="pct"/>
            <w:shd w:val="clear" w:color="auto" w:fill="auto"/>
            <w:noWrap/>
            <w:vAlign w:val="center"/>
          </w:tcPr>
          <w:p>
            <w:pPr>
              <w:pStyle w:val="28"/>
              <w:ind w:firstLine="0" w:firstLineChars="0"/>
              <w:rPr>
                <w:rFonts w:cs="Times New Roman"/>
                <w:color w:val="000000"/>
                <w:szCs w:val="21"/>
                <w:lang w:eastAsia="zh-CN"/>
              </w:rPr>
            </w:pPr>
            <w:r>
              <w:rPr>
                <w:rFonts w:hint="eastAsia"/>
                <w:color w:val="000000"/>
                <w:szCs w:val="21"/>
              </w:rPr>
              <w:t>摩托车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29,260.80 </w:t>
            </w:r>
          </w:p>
        </w:tc>
        <w:tc>
          <w:tcPr>
            <w:tcW w:w="1639" w:type="pct"/>
            <w:vAlign w:val="center"/>
          </w:tcPr>
          <w:p>
            <w:pPr>
              <w:spacing w:line="240" w:lineRule="auto"/>
              <w:ind w:firstLine="0" w:firstLineChars="0"/>
              <w:jc w:val="center"/>
              <w:rPr>
                <w:rFonts w:hint="eastAsia" w:cs="Times New Roman"/>
                <w:color w:val="000000"/>
                <w:szCs w:val="21"/>
                <w:lang w:eastAsia="zh-CN"/>
              </w:rPr>
            </w:pPr>
            <w:r>
              <w:rPr>
                <w:rFonts w:hint="eastAsia"/>
                <w:color w:val="000000"/>
                <w:sz w:val="21"/>
                <w:szCs w:val="21"/>
              </w:rPr>
              <w:t>0.062</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ind w:firstLine="0" w:firstLineChars="0"/>
              <w:rPr>
                <w:rFonts w:hint="eastAsia" w:ascii="宋体" w:hAnsi="宋体" w:cs="宋体"/>
                <w:color w:val="000000"/>
                <w:szCs w:val="21"/>
                <w:lang w:val="en-US" w:eastAsia="zh-CN"/>
              </w:rPr>
            </w:pPr>
          </w:p>
        </w:tc>
        <w:tc>
          <w:tcPr>
            <w:tcW w:w="928" w:type="pct"/>
            <w:shd w:val="clear" w:color="auto" w:fill="auto"/>
            <w:noWrap/>
            <w:vAlign w:val="center"/>
          </w:tcPr>
          <w:p>
            <w:pPr>
              <w:pStyle w:val="28"/>
              <w:ind w:firstLine="0" w:firstLineChars="0"/>
              <w:rPr>
                <w:rFonts w:cs="Times New Roman"/>
                <w:color w:val="000000"/>
                <w:szCs w:val="21"/>
                <w:lang w:eastAsia="zh-CN"/>
              </w:rPr>
            </w:pPr>
            <w:r>
              <w:rPr>
                <w:rFonts w:hint="eastAsia"/>
                <w:color w:val="000000"/>
                <w:szCs w:val="21"/>
                <w:lang w:val="en-US" w:eastAsia="zh-CN"/>
              </w:rPr>
              <w:t>电动公交车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225,840.00 </w:t>
            </w:r>
          </w:p>
        </w:tc>
        <w:tc>
          <w:tcPr>
            <w:tcW w:w="1639" w:type="pct"/>
            <w:vAlign w:val="center"/>
          </w:tcPr>
          <w:p>
            <w:pPr>
              <w:spacing w:line="240" w:lineRule="auto"/>
              <w:ind w:firstLine="0" w:firstLineChars="0"/>
              <w:jc w:val="center"/>
              <w:rPr>
                <w:rFonts w:hint="default" w:eastAsia="宋体" w:cs="Times New Roman"/>
                <w:color w:val="000000"/>
                <w:szCs w:val="21"/>
                <w:lang w:val="en-US" w:eastAsia="zh-CN"/>
              </w:rPr>
            </w:pPr>
            <w:r>
              <w:rPr>
                <w:rFonts w:hint="eastAsia"/>
                <w:color w:val="000000"/>
                <w:sz w:val="21"/>
                <w:szCs w:val="21"/>
              </w:rPr>
              <w:t>0.0</w:t>
            </w:r>
            <w:r>
              <w:rPr>
                <w:rFonts w:hint="eastAsia"/>
                <w:color w:val="000000"/>
                <w:sz w:val="21"/>
                <w:szCs w:val="21"/>
                <w:lang w:val="en-US" w:eastAsia="zh-CN"/>
              </w:rPr>
              <w:t>09</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restart"/>
            <w:shd w:val="clear" w:color="auto" w:fill="auto"/>
            <w:noWrap/>
            <w:vAlign w:val="center"/>
          </w:tcPr>
          <w:p>
            <w:pPr>
              <w:pStyle w:val="28"/>
              <w:rPr>
                <w:rFonts w:ascii="宋体" w:hAnsi="宋体" w:cs="宋体"/>
                <w:color w:val="000000"/>
                <w:szCs w:val="21"/>
                <w:lang w:eastAsia="zh-CN"/>
              </w:rPr>
            </w:pPr>
            <w:r>
              <w:rPr>
                <w:rFonts w:hint="eastAsia" w:ascii="宋体" w:hAnsi="宋体" w:cs="宋体"/>
                <w:color w:val="000000"/>
                <w:szCs w:val="21"/>
                <w:lang w:eastAsia="zh-CN"/>
              </w:rPr>
              <w:t>出差</w:t>
            </w:r>
          </w:p>
        </w:tc>
        <w:tc>
          <w:tcPr>
            <w:tcW w:w="928" w:type="pct"/>
            <w:shd w:val="clear" w:color="auto" w:fill="auto"/>
            <w:noWrap/>
            <w:vAlign w:val="center"/>
          </w:tcPr>
          <w:p>
            <w:pPr>
              <w:pStyle w:val="28"/>
              <w:ind w:firstLine="0" w:firstLineChars="0"/>
              <w:rPr>
                <w:rFonts w:ascii="宋体" w:hAnsi="宋体" w:eastAsia="宋体" w:cs="宋体"/>
                <w:color w:val="000000"/>
                <w:kern w:val="0"/>
                <w:sz w:val="21"/>
                <w:szCs w:val="21"/>
                <w:lang w:val="en-US" w:eastAsia="zh-CN" w:bidi="ar-SA"/>
              </w:rPr>
            </w:pPr>
            <w:r>
              <w:rPr>
                <w:rFonts w:hint="eastAsia" w:ascii="宋体" w:hAnsi="宋体" w:cs="宋体"/>
                <w:color w:val="000000"/>
                <w:szCs w:val="21"/>
                <w:lang w:eastAsia="zh-CN"/>
              </w:rPr>
              <w:t>汽车</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159,347.00 </w:t>
            </w:r>
          </w:p>
        </w:tc>
        <w:tc>
          <w:tcPr>
            <w:tcW w:w="1639" w:type="pct"/>
            <w:vAlign w:val="center"/>
          </w:tcPr>
          <w:p>
            <w:pPr>
              <w:pStyle w:val="28"/>
              <w:ind w:firstLine="0" w:firstLineChars="0"/>
              <w:rPr>
                <w:rFonts w:ascii="Times New Roman" w:hAnsi="Times New Roman" w:eastAsia="宋体" w:cs="Times New Roman"/>
                <w:color w:val="000000"/>
                <w:kern w:val="0"/>
                <w:sz w:val="21"/>
                <w:szCs w:val="21"/>
                <w:lang w:val="en-US" w:eastAsia="zh-CN" w:bidi="ar-SA"/>
              </w:rPr>
            </w:pPr>
            <w:r>
              <w:rPr>
                <w:rFonts w:hint="eastAsia" w:cs="Times New Roman"/>
                <w:color w:val="000000"/>
                <w:szCs w:val="21"/>
                <w:lang w:eastAsia="zh-CN"/>
              </w:rPr>
              <w:t>0.041</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9" w:type="pct"/>
            <w:vMerge w:val="continue"/>
            <w:shd w:val="clear" w:color="auto" w:fill="auto"/>
            <w:noWrap/>
            <w:vAlign w:val="center"/>
          </w:tcPr>
          <w:p>
            <w:pPr>
              <w:pStyle w:val="28"/>
              <w:rPr>
                <w:rFonts w:ascii="宋体" w:hAnsi="宋体" w:cs="宋体"/>
                <w:color w:val="000000"/>
                <w:szCs w:val="21"/>
                <w:lang w:eastAsia="zh-CN"/>
              </w:rPr>
            </w:pPr>
          </w:p>
        </w:tc>
        <w:tc>
          <w:tcPr>
            <w:tcW w:w="928" w:type="pct"/>
            <w:shd w:val="clear" w:color="auto" w:fill="auto"/>
            <w:noWrap/>
            <w:vAlign w:val="center"/>
          </w:tcPr>
          <w:p>
            <w:pPr>
              <w:pStyle w:val="28"/>
              <w:ind w:firstLine="0" w:firstLineChars="0"/>
              <w:rPr>
                <w:rFonts w:ascii="宋体" w:hAnsi="宋体" w:eastAsia="宋体" w:cs="宋体"/>
                <w:color w:val="000000"/>
                <w:kern w:val="0"/>
                <w:sz w:val="21"/>
                <w:szCs w:val="21"/>
                <w:lang w:val="en-US" w:eastAsia="zh-CN" w:bidi="ar-SA"/>
              </w:rPr>
            </w:pPr>
            <w:r>
              <w:rPr>
                <w:rFonts w:hint="eastAsia" w:ascii="宋体" w:hAnsi="宋体" w:cs="宋体"/>
                <w:color w:val="000000"/>
                <w:szCs w:val="21"/>
                <w:lang w:eastAsia="zh-CN"/>
              </w:rPr>
              <w:t>飞机</w:t>
            </w:r>
          </w:p>
        </w:tc>
        <w:tc>
          <w:tcPr>
            <w:tcW w:w="1746"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 xml:space="preserve">116,427.00 </w:t>
            </w:r>
          </w:p>
        </w:tc>
        <w:tc>
          <w:tcPr>
            <w:tcW w:w="1639" w:type="pct"/>
            <w:vAlign w:val="center"/>
          </w:tcPr>
          <w:p>
            <w:pPr>
              <w:pStyle w:val="28"/>
              <w:ind w:firstLine="0" w:firstLineChars="0"/>
              <w:rPr>
                <w:rFonts w:ascii="Times New Roman" w:hAnsi="Times New Roman" w:eastAsia="宋体" w:cs="Times New Roman"/>
                <w:color w:val="000000"/>
                <w:kern w:val="0"/>
                <w:sz w:val="21"/>
                <w:szCs w:val="21"/>
                <w:lang w:val="en-US" w:eastAsia="zh-CN" w:bidi="ar-SA"/>
              </w:rPr>
            </w:pPr>
            <w:r>
              <w:rPr>
                <w:rFonts w:cs="Times New Roman"/>
                <w:color w:val="000000"/>
                <w:szCs w:val="21"/>
                <w:lang w:eastAsia="zh-CN"/>
              </w:rPr>
              <w:t>0.088</w:t>
            </w:r>
          </w:p>
        </w:tc>
        <w:tc>
          <w:tcPr>
            <w:tcW w:w="1161" w:type="dxa"/>
            <w:shd w:val="clear" w:color="auto" w:fill="auto"/>
            <w:noWrap/>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10.25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2" w:type="pct"/>
            <w:gridSpan w:val="4"/>
            <w:shd w:val="clear" w:color="auto" w:fill="auto"/>
            <w:noWrap/>
            <w:vAlign w:val="center"/>
          </w:tcPr>
          <w:p>
            <w:pPr>
              <w:pStyle w:val="28"/>
              <w:rPr>
                <w:rFonts w:cs="Times New Roman"/>
                <w:color w:val="000000"/>
                <w:szCs w:val="21"/>
              </w:rPr>
            </w:pPr>
            <w:r>
              <w:rPr>
                <w:rFonts w:hint="eastAsia" w:cs="Times New Roman"/>
                <w:color w:val="000000"/>
                <w:szCs w:val="21"/>
              </w:rPr>
              <w:t>合计</w:t>
            </w:r>
          </w:p>
        </w:tc>
        <w:tc>
          <w:tcPr>
            <w:tcW w:w="687" w:type="pct"/>
            <w:shd w:val="clear" w:color="auto" w:fill="auto"/>
            <w:noWrap/>
            <w:vAlign w:val="center"/>
          </w:tcPr>
          <w:p>
            <w:pPr>
              <w:pStyle w:val="28"/>
              <w:rPr>
                <w:rFonts w:hint="default" w:eastAsia="宋体" w:cs="Times New Roman"/>
                <w:color w:val="000000"/>
                <w:szCs w:val="21"/>
                <w:lang w:val="en-US" w:eastAsia="zh-CN"/>
              </w:rPr>
            </w:pPr>
            <w:r>
              <w:rPr>
                <w:rFonts w:hint="eastAsia" w:cs="Times New Roman"/>
                <w:color w:val="000000"/>
                <w:szCs w:val="21"/>
                <w:lang w:val="en-US" w:eastAsia="zh-CN"/>
              </w:rPr>
              <w:t>1,501.23</w:t>
            </w:r>
          </w:p>
        </w:tc>
      </w:tr>
    </w:tbl>
    <w:p>
      <w:pPr>
        <w:ind w:firstLine="480"/>
        <w:rPr>
          <w:rFonts w:hint="eastAsia"/>
        </w:rPr>
      </w:pPr>
      <w:r>
        <w:rPr>
          <w:rFonts w:hint="eastAsia"/>
          <w:lang w:val="en-US" w:eastAsia="zh-CN"/>
        </w:rPr>
        <w:t>类别4，</w:t>
      </w:r>
      <w:r>
        <w:rPr>
          <w:rFonts w:hint="eastAsia"/>
        </w:rPr>
        <w:t>组织使用的产品产生的间接温室气体排放，包括原材料提取制造、废弃物处置。</w:t>
      </w:r>
      <w:r>
        <w:rPr>
          <w:rFonts w:hint="eastAsia"/>
          <w:lang w:val="en-US" w:eastAsia="zh-CN"/>
        </w:rPr>
        <w:t>广东隆达2023年</w:t>
      </w:r>
      <w:r>
        <w:rPr>
          <w:rFonts w:hint="eastAsia"/>
        </w:rPr>
        <w:t>类别4总计排放量为</w:t>
      </w:r>
      <w:r>
        <w:rPr>
          <w:rFonts w:hint="eastAsia"/>
          <w:lang w:val="en-US" w:eastAsia="zh-CN"/>
        </w:rPr>
        <w:t>256,175.52</w:t>
      </w:r>
      <w:r>
        <w:rPr>
          <w:rFonts w:hint="eastAsia"/>
        </w:rPr>
        <w:t>tCO</w:t>
      </w:r>
      <w:r>
        <w:rPr>
          <w:rFonts w:hint="eastAsia"/>
          <w:vertAlign w:val="subscript"/>
        </w:rPr>
        <w:t>2</w:t>
      </w:r>
      <w:r>
        <w:rPr>
          <w:rFonts w:hint="eastAsia"/>
        </w:rPr>
        <w:t>e，占全部排放的</w:t>
      </w:r>
      <w:r>
        <w:rPr>
          <w:rFonts w:hint="eastAsia"/>
          <w:lang w:val="en-US" w:eastAsia="zh-CN"/>
        </w:rPr>
        <w:t>94.35</w:t>
      </w:r>
      <w:r>
        <w:rPr>
          <w:rFonts w:hint="eastAsia"/>
        </w:rPr>
        <w:t>%。</w:t>
      </w:r>
    </w:p>
    <w:p>
      <w:pPr>
        <w:pStyle w:val="20"/>
        <w:numPr>
          <w:ilvl w:val="0"/>
          <w:numId w:val="2"/>
        </w:numPr>
        <w:ind w:left="-142" w:leftChars="-59" w:firstLine="0" w:firstLineChars="0"/>
        <w:jc w:val="center"/>
        <w:rPr>
          <w:rFonts w:hint="eastAsia"/>
        </w:rPr>
      </w:pPr>
      <w:r>
        <w:rPr>
          <w:rFonts w:hint="eastAsia"/>
        </w:rPr>
        <w:t>组织使用产品的间接排放源温室气体排放量（原材料）</w:t>
      </w:r>
    </w:p>
    <w:tbl>
      <w:tblPr>
        <w:tblStyle w:val="11"/>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4"/>
        <w:gridCol w:w="2435"/>
        <w:gridCol w:w="1536"/>
        <w:gridCol w:w="1575"/>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43" w:type="pct"/>
            <w:vAlign w:val="center"/>
          </w:tcPr>
          <w:p>
            <w:pPr>
              <w:pStyle w:val="47"/>
              <w:spacing w:line="240" w:lineRule="auto"/>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排放源</w:t>
            </w:r>
          </w:p>
          <w:p>
            <w:pPr>
              <w:pStyle w:val="47"/>
              <w:spacing w:line="240" w:lineRule="auto"/>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识别</w:t>
            </w:r>
          </w:p>
        </w:tc>
        <w:tc>
          <w:tcPr>
            <w:tcW w:w="1444" w:type="pct"/>
            <w:vAlign w:val="center"/>
          </w:tcPr>
          <w:p>
            <w:pPr>
              <w:pStyle w:val="47"/>
              <w:spacing w:line="240" w:lineRule="auto"/>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排放源</w:t>
            </w:r>
          </w:p>
        </w:tc>
        <w:tc>
          <w:tcPr>
            <w:tcW w:w="911" w:type="pct"/>
            <w:vAlign w:val="center"/>
          </w:tcPr>
          <w:p>
            <w:pPr>
              <w:pStyle w:val="47"/>
              <w:spacing w:line="240" w:lineRule="auto"/>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消耗量（</w:t>
            </w:r>
            <w:r>
              <w:rPr>
                <w:rFonts w:hint="eastAsia" w:cs="Times New Roman"/>
                <w:b/>
                <w:bCs/>
                <w:color w:val="000000" w:themeColor="text1"/>
                <w:sz w:val="21"/>
                <w:szCs w:val="21"/>
                <w:lang w:val="en-US" w:eastAsia="zh-CN"/>
                <w14:textFill>
                  <w14:solidFill>
                    <w14:schemeClr w14:val="tx1"/>
                  </w14:solidFill>
                </w14:textFill>
              </w:rPr>
              <w:t>t</w:t>
            </w:r>
            <w:r>
              <w:rPr>
                <w:rFonts w:cs="Times New Roman"/>
                <w:b/>
                <w:bCs/>
                <w:color w:val="000000" w:themeColor="text1"/>
                <w:sz w:val="21"/>
                <w:szCs w:val="21"/>
                <w14:textFill>
                  <w14:solidFill>
                    <w14:schemeClr w14:val="tx1"/>
                  </w14:solidFill>
                </w14:textFill>
              </w:rPr>
              <w:t>）</w:t>
            </w:r>
          </w:p>
        </w:tc>
        <w:tc>
          <w:tcPr>
            <w:tcW w:w="934" w:type="pct"/>
            <w:vAlign w:val="center"/>
          </w:tcPr>
          <w:p>
            <w:pPr>
              <w:pStyle w:val="47"/>
              <w:spacing w:line="240" w:lineRule="auto"/>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排放因子      kg CO</w:t>
            </w:r>
            <w:r>
              <w:rPr>
                <w:rFonts w:cs="Times New Roman"/>
                <w:b/>
                <w:bCs/>
                <w:color w:val="000000" w:themeColor="text1"/>
                <w:sz w:val="21"/>
                <w:szCs w:val="21"/>
                <w:vertAlign w:val="subscript"/>
                <w14:textFill>
                  <w14:solidFill>
                    <w14:schemeClr w14:val="tx1"/>
                  </w14:solidFill>
                </w14:textFill>
              </w:rPr>
              <w:t>2</w:t>
            </w:r>
            <w:r>
              <w:rPr>
                <w:rFonts w:cs="Times New Roman"/>
                <w:b/>
                <w:bCs/>
                <w:color w:val="000000" w:themeColor="text1"/>
                <w:sz w:val="21"/>
                <w:szCs w:val="21"/>
                <w14:textFill>
                  <w14:solidFill>
                    <w14:schemeClr w14:val="tx1"/>
                  </w14:solidFill>
                </w14:textFill>
              </w:rPr>
              <w:t>/kg</w:t>
            </w:r>
          </w:p>
        </w:tc>
        <w:tc>
          <w:tcPr>
            <w:tcW w:w="1067" w:type="pct"/>
            <w:tcBorders>
              <w:bottom w:val="single" w:color="auto" w:sz="4" w:space="0"/>
            </w:tcBorders>
            <w:vAlign w:val="center"/>
          </w:tcPr>
          <w:p>
            <w:pPr>
              <w:pStyle w:val="47"/>
              <w:spacing w:line="240" w:lineRule="auto"/>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温室气体排放当量（tCO</w:t>
            </w:r>
            <w:r>
              <w:rPr>
                <w:rFonts w:cs="Times New Roman"/>
                <w:b/>
                <w:bCs/>
                <w:color w:val="000000" w:themeColor="text1"/>
                <w:sz w:val="21"/>
                <w:szCs w:val="21"/>
                <w:vertAlign w:val="subscript"/>
                <w14:textFill>
                  <w14:solidFill>
                    <w14:schemeClr w14:val="tx1"/>
                  </w14:solidFill>
                </w14:textFill>
              </w:rPr>
              <w:t>2</w:t>
            </w:r>
            <w:r>
              <w:rPr>
                <w:rFonts w:cs="Times New Roman"/>
                <w:b/>
                <w:bCs/>
                <w:color w:val="000000" w:themeColor="text1"/>
                <w:sz w:val="21"/>
                <w:szCs w:val="21"/>
                <w14:textFill>
                  <w14:solidFill>
                    <w14:schemeClr w14:val="tx1"/>
                  </w14:solidFill>
                </w14:textFill>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restart"/>
            <w:vAlign w:val="center"/>
          </w:tcPr>
          <w:p>
            <w:pPr>
              <w:pStyle w:val="47"/>
              <w:adjustRightInd/>
              <w:spacing w:line="240" w:lineRule="auto"/>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原材料提取制造</w:t>
            </w: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再生铝</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59,757.87</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0.2930</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17,511.84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工业硅</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2,492.45</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10.8949</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27,154.98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镁</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30.90</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27.9175</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862.68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锰</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15.27</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5.6755</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86.67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铜</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25.26</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4.7581</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120.19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铝锭</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9,407.04</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22.1415</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208,285.76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643" w:type="pct"/>
            <w:vMerge w:val="continue"/>
            <w:vAlign w:val="center"/>
          </w:tcPr>
          <w:p>
            <w:pPr>
              <w:pStyle w:val="47"/>
              <w:spacing w:line="240" w:lineRule="auto"/>
              <w:rPr>
                <w:rFonts w:cs="Times New Roman"/>
                <w:color w:val="000000" w:themeColor="text1"/>
                <w:sz w:val="21"/>
                <w:szCs w:val="21"/>
                <w14:textFill>
                  <w14:solidFill>
                    <w14:schemeClr w14:val="tx1"/>
                  </w14:solidFill>
                </w14:textFill>
              </w:rPr>
            </w:pPr>
          </w:p>
        </w:tc>
        <w:tc>
          <w:tcPr>
            <w:tcW w:w="1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钛金属</w:t>
            </w:r>
          </w:p>
        </w:tc>
        <w:tc>
          <w:tcPr>
            <w:tcW w:w="9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37.91</w:t>
            </w:r>
          </w:p>
        </w:tc>
        <w:tc>
          <w:tcPr>
            <w:tcW w:w="9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51.9685</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1,970.29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3932" w:type="pct"/>
            <w:gridSpan w:val="4"/>
            <w:tcBorders>
              <w:right w:val="single" w:color="auto" w:sz="4" w:space="0"/>
            </w:tcBorders>
            <w:vAlign w:val="center"/>
          </w:tcPr>
          <w:p>
            <w:pPr>
              <w:widowControl/>
              <w:spacing w:line="240" w:lineRule="auto"/>
              <w:jc w:val="center"/>
              <w:textAlignment w:val="center"/>
              <w:rPr>
                <w:rFonts w:ascii="Times New Roman" w:hAnsi="Times New Roman" w:eastAsia="等线" w:cs="Times New Roman"/>
                <w:color w:val="000000" w:themeColor="text1"/>
                <w:kern w:val="0"/>
                <w:sz w:val="21"/>
                <w:szCs w:val="21"/>
                <w:lang w:bidi="ar"/>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总计</w:t>
            </w:r>
          </w:p>
        </w:tc>
        <w:tc>
          <w:tcPr>
            <w:tcW w:w="106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left="0" w:leftChars="0" w:firstLine="0" w:firstLineChars="0"/>
              <w:jc w:val="center"/>
              <w:textAlignment w:val="center"/>
              <w:rPr>
                <w:rFonts w:hint="default" w:ascii="Times New Roman" w:hAnsi="Times New Roman" w:eastAsia="等线" w:cs="Times New Roman"/>
                <w:color w:val="000000" w:themeColor="text1"/>
                <w:kern w:val="0"/>
                <w:sz w:val="21"/>
                <w:szCs w:val="21"/>
                <w:lang w:val="en-US" w:eastAsia="zh-CN" w:bidi="ar"/>
                <w14:textFill>
                  <w14:solidFill>
                    <w14:schemeClr w14:val="tx1"/>
                  </w14:solidFill>
                </w14:textFill>
              </w:rPr>
            </w:pPr>
            <w:r>
              <w:rPr>
                <w:rFonts w:hint="eastAsia" w:eastAsia="等线" w:cs="Times New Roman"/>
                <w:b/>
                <w:bCs/>
                <w:color w:val="000000" w:themeColor="text1"/>
                <w:kern w:val="0"/>
                <w:sz w:val="21"/>
                <w:szCs w:val="21"/>
                <w:lang w:val="en-US" w:eastAsia="zh-CN" w:bidi="ar"/>
                <w14:textFill>
                  <w14:solidFill>
                    <w14:schemeClr w14:val="tx1"/>
                  </w14:solidFill>
                </w14:textFill>
              </w:rPr>
              <w:t>255,992.41</w:t>
            </w:r>
          </w:p>
        </w:tc>
      </w:tr>
    </w:tbl>
    <w:p>
      <w:pPr>
        <w:pStyle w:val="20"/>
        <w:numPr>
          <w:ilvl w:val="0"/>
          <w:numId w:val="2"/>
        </w:numPr>
        <w:ind w:left="-142" w:leftChars="-59" w:firstLine="0" w:firstLineChars="0"/>
        <w:jc w:val="center"/>
        <w:rPr>
          <w:rFonts w:hint="eastAsia"/>
        </w:rPr>
      </w:pPr>
      <w:r>
        <w:rPr>
          <w:rFonts w:hint="eastAsia"/>
        </w:rPr>
        <w:t>组织使用产品的间接排放源温室气体排放量（废弃物）</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457"/>
        <w:gridCol w:w="1498"/>
        <w:gridCol w:w="1534"/>
        <w:gridCol w:w="1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64" w:type="pct"/>
            <w:vAlign w:val="center"/>
          </w:tcPr>
          <w:p>
            <w:pPr>
              <w:pStyle w:val="47"/>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排放源</w:t>
            </w:r>
          </w:p>
          <w:p>
            <w:pPr>
              <w:pStyle w:val="47"/>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识别</w:t>
            </w:r>
          </w:p>
        </w:tc>
        <w:tc>
          <w:tcPr>
            <w:tcW w:w="1456" w:type="pct"/>
            <w:vAlign w:val="center"/>
          </w:tcPr>
          <w:p>
            <w:pPr>
              <w:pStyle w:val="47"/>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排放源</w:t>
            </w:r>
          </w:p>
        </w:tc>
        <w:tc>
          <w:tcPr>
            <w:tcW w:w="888" w:type="pct"/>
            <w:vAlign w:val="center"/>
          </w:tcPr>
          <w:p>
            <w:pPr>
              <w:pStyle w:val="47"/>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产生量（t）</w:t>
            </w:r>
          </w:p>
        </w:tc>
        <w:tc>
          <w:tcPr>
            <w:tcW w:w="908" w:type="pct"/>
            <w:vAlign w:val="center"/>
          </w:tcPr>
          <w:p>
            <w:pPr>
              <w:pStyle w:val="47"/>
              <w:rPr>
                <w:rFonts w:cs="Times New Roman"/>
                <w:b/>
                <w:bCs/>
                <w:color w:val="000000" w:themeColor="text1"/>
                <w:sz w:val="21"/>
                <w:szCs w:val="21"/>
                <w:lang w:eastAsia="en-US"/>
                <w14:textFill>
                  <w14:solidFill>
                    <w14:schemeClr w14:val="tx1"/>
                  </w14:solidFill>
                </w14:textFill>
              </w:rPr>
            </w:pPr>
            <w:r>
              <w:rPr>
                <w:rFonts w:cs="Times New Roman"/>
                <w:b/>
                <w:bCs/>
                <w:color w:val="000000" w:themeColor="text1"/>
                <w:sz w:val="21"/>
                <w:szCs w:val="21"/>
                <w14:textFill>
                  <w14:solidFill>
                    <w14:schemeClr w14:val="tx1"/>
                  </w14:solidFill>
                </w14:textFill>
              </w:rPr>
              <w:t>排放因子     kg CO</w:t>
            </w:r>
            <w:r>
              <w:rPr>
                <w:rFonts w:cs="Times New Roman"/>
                <w:b/>
                <w:bCs/>
                <w:color w:val="000000" w:themeColor="text1"/>
                <w:sz w:val="21"/>
                <w:szCs w:val="21"/>
                <w:vertAlign w:val="subscript"/>
                <w14:textFill>
                  <w14:solidFill>
                    <w14:schemeClr w14:val="tx1"/>
                  </w14:solidFill>
                </w14:textFill>
              </w:rPr>
              <w:t>2</w:t>
            </w:r>
            <w:r>
              <w:rPr>
                <w:rFonts w:cs="Times New Roman"/>
                <w:b/>
                <w:bCs/>
                <w:color w:val="000000" w:themeColor="text1"/>
                <w:sz w:val="21"/>
                <w:szCs w:val="21"/>
                <w14:textFill>
                  <w14:solidFill>
                    <w14:schemeClr w14:val="tx1"/>
                  </w14:solidFill>
                </w14:textFill>
              </w:rPr>
              <w:t>/kg</w:t>
            </w:r>
          </w:p>
        </w:tc>
        <w:tc>
          <w:tcPr>
            <w:tcW w:w="1082" w:type="pct"/>
            <w:vAlign w:val="center"/>
          </w:tcPr>
          <w:p>
            <w:pPr>
              <w:pStyle w:val="47"/>
              <w:rPr>
                <w:rFonts w:cs="Times New Roman"/>
                <w:b/>
                <w:bCs/>
                <w:color w:val="000000" w:themeColor="text1"/>
                <w:sz w:val="21"/>
                <w:szCs w:val="21"/>
                <w14:textFill>
                  <w14:solidFill>
                    <w14:schemeClr w14:val="tx1"/>
                  </w14:solidFill>
                </w14:textFill>
              </w:rPr>
            </w:pPr>
            <w:r>
              <w:rPr>
                <w:rFonts w:cs="Times New Roman"/>
                <w:b/>
                <w:bCs/>
                <w:color w:val="000000" w:themeColor="text1"/>
                <w:sz w:val="21"/>
                <w:szCs w:val="21"/>
                <w14:textFill>
                  <w14:solidFill>
                    <w14:schemeClr w14:val="tx1"/>
                  </w14:solidFill>
                </w14:textFill>
              </w:rPr>
              <w:t>温室气体排放当量（tCO</w:t>
            </w:r>
            <w:r>
              <w:rPr>
                <w:rFonts w:cs="Times New Roman"/>
                <w:b/>
                <w:bCs/>
                <w:color w:val="000000" w:themeColor="text1"/>
                <w:sz w:val="21"/>
                <w:szCs w:val="21"/>
                <w:vertAlign w:val="subscript"/>
                <w14:textFill>
                  <w14:solidFill>
                    <w14:schemeClr w14:val="tx1"/>
                  </w14:solidFill>
                </w14:textFill>
              </w:rPr>
              <w:t>2</w:t>
            </w:r>
            <w:r>
              <w:rPr>
                <w:rFonts w:cs="Times New Roman"/>
                <w:b/>
                <w:bCs/>
                <w:color w:val="000000" w:themeColor="text1"/>
                <w:sz w:val="21"/>
                <w:szCs w:val="21"/>
                <w14:textFill>
                  <w14:solidFill>
                    <w14:schemeClr w14:val="tx1"/>
                  </w14:solidFill>
                </w14:textFill>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restart"/>
            <w:vAlign w:val="center"/>
          </w:tcPr>
          <w:p>
            <w:pPr>
              <w:spacing w:line="240" w:lineRule="auto"/>
              <w:ind w:left="0" w:leftChars="0" w:firstLine="0" w:firstLineChars="0"/>
              <w:jc w:val="center"/>
              <w:rPr>
                <w:rFonts w:ascii="Times New Roman" w:hAnsi="Times New Roman" w:cs="Times New Roman"/>
                <w:color w:val="000000" w:themeColor="text1"/>
                <w:sz w:val="21"/>
                <w:szCs w:val="21"/>
                <w:lang w:eastAsia="en-US"/>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废弃物处置</w:t>
            </w: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宋体" w:cs="Times New Roman"/>
                <w:color w:val="000000" w:themeColor="text1"/>
                <w:kern w:val="0"/>
                <w:sz w:val="21"/>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废电路板</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000000" w:themeColor="text1"/>
                <w:kern w:val="0"/>
                <w:sz w:val="21"/>
                <w:szCs w:val="21"/>
                <w:lang w:val="en-US"/>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0.00</w:t>
            </w:r>
            <w:r>
              <w:rPr>
                <w:rFonts w:hint="eastAsia" w:eastAsia="等线" w:cs="Times New Roman"/>
                <w:i w:val="0"/>
                <w:iCs w:val="0"/>
                <w:color w:val="000000"/>
                <w:kern w:val="0"/>
                <w:sz w:val="22"/>
                <w:szCs w:val="22"/>
                <w:u w:val="none"/>
                <w:lang w:val="en-US" w:eastAsia="zh-CN" w:bidi="ar"/>
              </w:rPr>
              <w:t>15</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kern w:val="0"/>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2.5150</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000000" w:themeColor="text1"/>
                <w:kern w:val="0"/>
                <w:sz w:val="21"/>
                <w:szCs w:val="21"/>
                <w:lang w:val="en-US"/>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0.00</w:t>
            </w:r>
            <w:r>
              <w:rPr>
                <w:rFonts w:hint="eastAsia" w:eastAsia="等线" w:cs="Times New Roman"/>
                <w:i w:val="0"/>
                <w:iCs w:val="0"/>
                <w:color w:val="000000"/>
                <w:kern w:val="0"/>
                <w:sz w:val="22"/>
                <w:szCs w:val="22"/>
                <w:u w:val="none"/>
                <w:lang w:val="en-US" w:eastAsia="zh-CN" w:bidi="ar"/>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continue"/>
            <w:vAlign w:val="center"/>
          </w:tcPr>
          <w:p>
            <w:pPr>
              <w:jc w:val="center"/>
              <w:rPr>
                <w:rFonts w:ascii="Times New Roman" w:hAnsi="Times New Roman" w:cs="Times New Roman"/>
                <w:color w:val="000000" w:themeColor="text1"/>
                <w:sz w:val="21"/>
                <w:szCs w:val="21"/>
                <w14:textFill>
                  <w14:solidFill>
                    <w14:schemeClr w14:val="tx1"/>
                  </w14:solidFill>
                </w14:textFill>
              </w:rPr>
            </w:pP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废石棉</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3.04</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0.0393</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continue"/>
            <w:vAlign w:val="center"/>
          </w:tcPr>
          <w:p>
            <w:pPr>
              <w:jc w:val="center"/>
              <w:rPr>
                <w:rFonts w:ascii="Times New Roman" w:hAnsi="Times New Roman" w:cs="Times New Roman"/>
                <w:color w:val="000000" w:themeColor="text1"/>
                <w:sz w:val="21"/>
                <w:szCs w:val="21"/>
                <w14:textFill>
                  <w14:solidFill>
                    <w14:schemeClr w14:val="tx1"/>
                  </w14:solidFill>
                </w14:textFill>
              </w:rPr>
            </w:pP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废除尘布袋</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6.39</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2.5150</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continue"/>
            <w:vAlign w:val="center"/>
          </w:tcPr>
          <w:p>
            <w:pPr>
              <w:jc w:val="center"/>
              <w:rPr>
                <w:rFonts w:ascii="Times New Roman" w:hAnsi="Times New Roman" w:cs="Times New Roman"/>
                <w:color w:val="000000" w:themeColor="text1"/>
                <w:sz w:val="21"/>
                <w:szCs w:val="21"/>
                <w14:textFill>
                  <w14:solidFill>
                    <w14:schemeClr w14:val="tx1"/>
                  </w14:solidFill>
                </w14:textFill>
              </w:rPr>
            </w:pP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废矿物油</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000000" w:themeColor="text1"/>
                <w:sz w:val="21"/>
                <w:szCs w:val="21"/>
                <w:lang w:val="en-US"/>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0.06</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2.5150</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continue"/>
            <w:vAlign w:val="center"/>
          </w:tcPr>
          <w:p>
            <w:pPr>
              <w:jc w:val="center"/>
              <w:rPr>
                <w:rFonts w:ascii="Times New Roman" w:hAnsi="Times New Roman" w:cs="Times New Roman"/>
                <w:color w:val="000000" w:themeColor="text1"/>
                <w:sz w:val="21"/>
                <w:szCs w:val="21"/>
                <w14:textFill>
                  <w14:solidFill>
                    <w14:schemeClr w14:val="tx1"/>
                  </w14:solidFill>
                </w14:textFill>
              </w:rPr>
            </w:pP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cs="Times New Roman"/>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环保灰</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148.65</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0.0426</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i w:val="0"/>
                <w:iCs w:val="0"/>
                <w:color w:val="000000"/>
                <w:kern w:val="0"/>
                <w:sz w:val="22"/>
                <w:szCs w:val="22"/>
                <w:u w:val="none"/>
                <w:lang w:val="en-US" w:eastAsia="zh-CN" w:bidi="ar"/>
              </w:rPr>
              <w:t>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4" w:type="pct"/>
            <w:vMerge w:val="continue"/>
            <w:vAlign w:val="center"/>
          </w:tcPr>
          <w:p>
            <w:pPr>
              <w:jc w:val="center"/>
              <w:rPr>
                <w:rFonts w:ascii="Times New Roman" w:hAnsi="Times New Roman" w:cs="Times New Roman"/>
                <w:color w:val="000000" w:themeColor="text1"/>
                <w:sz w:val="21"/>
                <w:szCs w:val="21"/>
                <w14:textFill>
                  <w14:solidFill>
                    <w14:schemeClr w14:val="tx1"/>
                  </w14:solidFill>
                </w14:textFill>
              </w:rPr>
            </w:pPr>
          </w:p>
        </w:tc>
        <w:tc>
          <w:tcPr>
            <w:tcW w:w="2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铝灰（再利用）</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3,765.71</w:t>
            </w:r>
          </w:p>
        </w:tc>
        <w:tc>
          <w:tcPr>
            <w:tcW w:w="15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0.0426</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160.43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7" w:type="pct"/>
            <w:gridSpan w:val="4"/>
            <w:vAlign w:val="center"/>
          </w:tcPr>
          <w:p>
            <w:pPr>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总计</w:t>
            </w:r>
          </w:p>
        </w:tc>
        <w:tc>
          <w:tcPr>
            <w:tcW w:w="1082" w:type="pct"/>
            <w:vAlign w:val="center"/>
          </w:tcPr>
          <w:p>
            <w:pPr>
              <w:ind w:left="0" w:leftChars="0" w:firstLine="0" w:firstLineChars="0"/>
              <w:jc w:val="center"/>
              <w:rPr>
                <w:rFonts w:hint="default" w:ascii="Times New Roman" w:hAnsi="Times New Roman" w:eastAsia="等线" w:cs="Times New Roman"/>
                <w:color w:val="000000" w:themeColor="text1"/>
                <w:sz w:val="21"/>
                <w:szCs w:val="21"/>
                <w:lang w:val="en-US" w:eastAsia="zh-CN"/>
                <w14:textFill>
                  <w14:solidFill>
                    <w14:schemeClr w14:val="tx1"/>
                  </w14:solidFill>
                </w14:textFill>
              </w:rPr>
            </w:pPr>
            <w:r>
              <w:rPr>
                <w:rFonts w:hint="eastAsia" w:eastAsia="等线" w:cs="Times New Roman"/>
                <w:b/>
                <w:bCs/>
                <w:color w:val="000000" w:themeColor="text1"/>
                <w:sz w:val="21"/>
                <w:szCs w:val="21"/>
                <w:lang w:val="en-US" w:eastAsia="zh-CN"/>
                <w14:textFill>
                  <w14:solidFill>
                    <w14:schemeClr w14:val="tx1"/>
                  </w14:solidFill>
                </w14:textFill>
              </w:rPr>
              <w:t>183.11</w:t>
            </w:r>
          </w:p>
        </w:tc>
      </w:tr>
    </w:tbl>
    <w:p>
      <w:pPr>
        <w:ind w:firstLine="480"/>
      </w:pPr>
      <w:r>
        <w:rPr>
          <w:rFonts w:hint="eastAsia"/>
        </w:rPr>
        <w:t>对于2023年度其它间接之温室气体排放（如类别5、类别6）不做定量计算，包含：非广东隆达所拥有或控制的委外作业，如设备维护工作等。</w:t>
      </w:r>
    </w:p>
    <w:p>
      <w:pPr>
        <w:pStyle w:val="3"/>
      </w:pPr>
      <w:bookmarkStart w:id="42" w:name="_Toc26343"/>
      <w:bookmarkStart w:id="43" w:name="_Toc96351366"/>
      <w:bookmarkStart w:id="44" w:name="_Toc12971"/>
      <w:bookmarkStart w:id="45" w:name="_Toc95468514"/>
      <w:r>
        <w:rPr>
          <w:rFonts w:hint="eastAsia"/>
        </w:rPr>
        <w:t>3.5</w:t>
      </w:r>
      <w:r>
        <w:t>广东隆达202</w:t>
      </w:r>
      <w:r>
        <w:rPr>
          <w:rFonts w:hint="eastAsia"/>
        </w:rPr>
        <w:t>3</w:t>
      </w:r>
      <w:r>
        <w:t>年</w:t>
      </w:r>
      <w:r>
        <w:rPr>
          <w:rFonts w:hint="eastAsia"/>
        </w:rPr>
        <w:t>度</w:t>
      </w:r>
      <w:r>
        <w:t>温室气体排放量</w:t>
      </w:r>
      <w:bookmarkEnd w:id="42"/>
      <w:bookmarkEnd w:id="43"/>
      <w:bookmarkEnd w:id="44"/>
      <w:bookmarkEnd w:id="45"/>
    </w:p>
    <w:p>
      <w:pPr>
        <w:ind w:firstLine="480"/>
      </w:pPr>
      <w:r>
        <w:t>广东隆达202</w:t>
      </w:r>
      <w:r>
        <w:rPr>
          <w:rFonts w:hint="eastAsia"/>
        </w:rPr>
        <w:t>3</w:t>
      </w:r>
      <w:r>
        <w:t>年度温室气体排放量总计为</w:t>
      </w:r>
      <w:r>
        <w:rPr>
          <w:rFonts w:hint="eastAsia"/>
          <w:lang w:val="en-US" w:eastAsia="zh-CN"/>
        </w:rPr>
        <w:t>271,955.64</w:t>
      </w:r>
      <w:r>
        <w:t>tCO</w:t>
      </w:r>
      <w:r>
        <w:rPr>
          <w:vertAlign w:val="subscript"/>
        </w:rPr>
        <w:t>2</w:t>
      </w:r>
      <w:r>
        <w:t>e</w:t>
      </w:r>
      <w:r>
        <w:rPr>
          <w:rFonts w:hint="eastAsia"/>
        </w:rPr>
        <w:t>。</w:t>
      </w:r>
      <w:r>
        <w:t>各类别温室气体排放量见</w:t>
      </w:r>
      <w:r>
        <w:rPr>
          <w:rFonts w:hint="eastAsia"/>
        </w:rPr>
        <w:t>下表</w:t>
      </w:r>
      <w:r>
        <w:t>：</w:t>
      </w:r>
    </w:p>
    <w:p>
      <w:pPr>
        <w:pStyle w:val="20"/>
        <w:numPr>
          <w:ilvl w:val="0"/>
          <w:numId w:val="2"/>
        </w:numPr>
        <w:ind w:left="-142" w:leftChars="-59" w:firstLine="0" w:firstLineChars="0"/>
        <w:jc w:val="center"/>
      </w:pPr>
      <w:bookmarkStart w:id="46" w:name="_Hlk116652097"/>
      <w:r>
        <w:t>202</w:t>
      </w:r>
      <w:r>
        <w:rPr>
          <w:rFonts w:hint="eastAsia"/>
        </w:rPr>
        <w:t>3</w:t>
      </w:r>
      <w:r>
        <w:t>年度温室气体各类别温室气体排放量</w:t>
      </w:r>
    </w:p>
    <w:bookmarkEnd w:id="46"/>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1"/>
        <w:gridCol w:w="1075"/>
        <w:gridCol w:w="1552"/>
        <w:gridCol w:w="1552"/>
        <w:gridCol w:w="1309"/>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exact"/>
          <w:jc w:val="center"/>
        </w:trPr>
        <w:tc>
          <w:tcPr>
            <w:tcW w:w="869" w:type="pct"/>
            <w:shd w:val="clear" w:color="auto" w:fill="auto"/>
            <w:vAlign w:val="center"/>
          </w:tcPr>
          <w:p>
            <w:pPr>
              <w:pStyle w:val="28"/>
              <w:rPr>
                <w:b/>
                <w:bCs/>
              </w:rPr>
            </w:pPr>
            <w:r>
              <w:rPr>
                <w:b/>
                <w:bCs/>
              </w:rPr>
              <w:t>排放源类别</w:t>
            </w:r>
          </w:p>
        </w:tc>
        <w:tc>
          <w:tcPr>
            <w:tcW w:w="653" w:type="pct"/>
            <w:shd w:val="clear" w:color="auto" w:fill="auto"/>
            <w:vAlign w:val="center"/>
          </w:tcPr>
          <w:p>
            <w:pPr>
              <w:pStyle w:val="28"/>
              <w:rPr>
                <w:b/>
                <w:bCs/>
              </w:rPr>
            </w:pPr>
            <w:r>
              <w:rPr>
                <w:b/>
                <w:bCs/>
              </w:rPr>
              <w:t>直接排放源</w:t>
            </w:r>
          </w:p>
        </w:tc>
        <w:tc>
          <w:tcPr>
            <w:tcW w:w="943" w:type="pct"/>
            <w:shd w:val="clear" w:color="auto" w:fill="auto"/>
            <w:vAlign w:val="center"/>
          </w:tcPr>
          <w:p>
            <w:pPr>
              <w:pStyle w:val="28"/>
              <w:rPr>
                <w:b/>
                <w:bCs/>
              </w:rPr>
            </w:pPr>
            <w:r>
              <w:rPr>
                <w:b/>
                <w:bCs/>
              </w:rPr>
              <w:t>能源的间接排放源</w:t>
            </w:r>
          </w:p>
        </w:tc>
        <w:tc>
          <w:tcPr>
            <w:tcW w:w="943" w:type="pct"/>
            <w:shd w:val="clear" w:color="auto" w:fill="auto"/>
            <w:vAlign w:val="center"/>
          </w:tcPr>
          <w:p>
            <w:pPr>
              <w:pStyle w:val="28"/>
              <w:rPr>
                <w:b/>
                <w:bCs/>
                <w:lang w:eastAsia="zh-CN"/>
              </w:rPr>
            </w:pPr>
            <w:r>
              <w:rPr>
                <w:b/>
                <w:bCs/>
                <w:lang w:eastAsia="zh-CN"/>
              </w:rPr>
              <w:t>运输的间接排放源</w:t>
            </w:r>
          </w:p>
        </w:tc>
        <w:tc>
          <w:tcPr>
            <w:tcW w:w="795" w:type="pct"/>
            <w:shd w:val="clear" w:color="auto" w:fill="auto"/>
            <w:vAlign w:val="center"/>
          </w:tcPr>
          <w:p>
            <w:pPr>
              <w:pStyle w:val="28"/>
              <w:rPr>
                <w:b/>
                <w:bCs/>
                <w:lang w:eastAsia="zh-CN"/>
              </w:rPr>
            </w:pPr>
            <w:r>
              <w:rPr>
                <w:rFonts w:hint="eastAsia"/>
                <w:b/>
                <w:bCs/>
                <w:lang w:eastAsia="zh-CN"/>
              </w:rPr>
              <w:t>组织使用产品的间接排放源</w:t>
            </w:r>
          </w:p>
        </w:tc>
        <w:tc>
          <w:tcPr>
            <w:tcW w:w="795" w:type="pct"/>
            <w:shd w:val="clear" w:color="auto" w:fill="auto"/>
            <w:vAlign w:val="center"/>
          </w:tcPr>
          <w:p>
            <w:pPr>
              <w:pStyle w:val="28"/>
              <w:rPr>
                <w:b/>
                <w:bCs/>
              </w:rPr>
            </w:pPr>
            <w:r>
              <w:rPr>
                <w:b/>
                <w:bCs/>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exact"/>
          <w:jc w:val="center"/>
        </w:trPr>
        <w:tc>
          <w:tcPr>
            <w:tcW w:w="869" w:type="pct"/>
            <w:shd w:val="clear" w:color="auto" w:fill="auto"/>
            <w:vAlign w:val="center"/>
          </w:tcPr>
          <w:p>
            <w:pPr>
              <w:pStyle w:val="28"/>
            </w:pPr>
            <w:r>
              <w:t>温室气体排放量（tCO</w:t>
            </w:r>
            <w:r>
              <w:rPr>
                <w:vertAlign w:val="subscript"/>
              </w:rPr>
              <w:t>2</w:t>
            </w:r>
            <w:r>
              <w:t>e）</w:t>
            </w:r>
          </w:p>
        </w:tc>
        <w:tc>
          <w:tcPr>
            <w:tcW w:w="1075"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12,</w:t>
            </w:r>
            <w:r>
              <w:rPr>
                <w:rFonts w:hint="eastAsia" w:cs="Times New Roman"/>
                <w:i w:val="0"/>
                <w:iCs w:val="0"/>
                <w:color w:val="000000"/>
                <w:kern w:val="0"/>
                <w:sz w:val="22"/>
                <w:szCs w:val="22"/>
                <w:u w:val="none"/>
                <w:lang w:val="en-US" w:eastAsia="zh-CN" w:bidi="ar"/>
              </w:rPr>
              <w:t>506.41</w:t>
            </w:r>
            <w:r>
              <w:rPr>
                <w:rFonts w:hint="default" w:ascii="Times New Roman" w:hAnsi="Times New Roman" w:eastAsia="宋体" w:cs="Times New Roman"/>
                <w:i w:val="0"/>
                <w:iCs w:val="0"/>
                <w:color w:val="000000"/>
                <w:kern w:val="0"/>
                <w:sz w:val="22"/>
                <w:szCs w:val="22"/>
                <w:u w:val="none"/>
                <w:lang w:val="en-US" w:eastAsia="zh-CN" w:bidi="ar"/>
              </w:rPr>
              <w:t xml:space="preserve"> </w:t>
            </w:r>
          </w:p>
        </w:tc>
        <w:tc>
          <w:tcPr>
            <w:tcW w:w="1552"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 xml:space="preserve">1,772.48 </w:t>
            </w:r>
          </w:p>
        </w:tc>
        <w:tc>
          <w:tcPr>
            <w:tcW w:w="1552"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val="en-US" w:bidi="ar"/>
              </w:rPr>
            </w:pPr>
            <w:r>
              <w:rPr>
                <w:rFonts w:hint="eastAsia" w:cs="Times New Roman"/>
                <w:i w:val="0"/>
                <w:iCs w:val="0"/>
                <w:color w:val="000000"/>
                <w:kern w:val="0"/>
                <w:sz w:val="22"/>
                <w:szCs w:val="22"/>
                <w:u w:val="none"/>
                <w:lang w:val="en-US" w:eastAsia="zh-CN" w:bidi="ar"/>
              </w:rPr>
              <w:t>1,501.23</w:t>
            </w:r>
          </w:p>
        </w:tc>
        <w:tc>
          <w:tcPr>
            <w:tcW w:w="1309"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szCs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 xml:space="preserve">256,175.52 </w:t>
            </w:r>
          </w:p>
        </w:tc>
        <w:tc>
          <w:tcPr>
            <w:tcW w:w="1309"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val="en-US" w:bidi="ar"/>
              </w:rPr>
            </w:pPr>
            <w:r>
              <w:rPr>
                <w:rFonts w:hint="default" w:ascii="Times New Roman" w:hAnsi="Times New Roman" w:eastAsia="宋体" w:cs="Times New Roman"/>
                <w:b w:val="0"/>
                <w:bCs w:val="0"/>
                <w:i w:val="0"/>
                <w:iCs w:val="0"/>
                <w:color w:val="000000"/>
                <w:kern w:val="0"/>
                <w:sz w:val="22"/>
                <w:szCs w:val="22"/>
                <w:u w:val="none"/>
                <w:lang w:val="en-US" w:eastAsia="zh-CN" w:bidi="ar"/>
              </w:rPr>
              <w:t>271,</w:t>
            </w:r>
            <w:r>
              <w:rPr>
                <w:rFonts w:hint="eastAsia" w:cs="Times New Roman"/>
                <w:b w:val="0"/>
                <w:bCs w:val="0"/>
                <w:i w:val="0"/>
                <w:iCs w:val="0"/>
                <w:color w:val="000000"/>
                <w:kern w:val="0"/>
                <w:sz w:val="22"/>
                <w:szCs w:val="22"/>
                <w:u w:val="none"/>
                <w:lang w:val="en-US" w:eastAsia="zh-CN" w:bidi="ar"/>
              </w:rPr>
              <w:t>955.64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exact"/>
          <w:jc w:val="center"/>
        </w:trPr>
        <w:tc>
          <w:tcPr>
            <w:tcW w:w="869" w:type="pct"/>
            <w:shd w:val="clear" w:color="auto" w:fill="auto"/>
            <w:vAlign w:val="center"/>
          </w:tcPr>
          <w:p>
            <w:pPr>
              <w:pStyle w:val="28"/>
            </w:pPr>
            <w:r>
              <w:t>占总排放量比例（%）</w:t>
            </w:r>
          </w:p>
        </w:tc>
        <w:tc>
          <w:tcPr>
            <w:tcW w:w="1075"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4.6</w:t>
            </w:r>
            <w:r>
              <w:rPr>
                <w:rFonts w:hint="eastAsia" w:cs="Times New Roman"/>
                <w:i w:val="0"/>
                <w:iCs w:val="0"/>
                <w:color w:val="000000"/>
                <w:kern w:val="0"/>
                <w:sz w:val="22"/>
                <w:szCs w:val="22"/>
                <w:u w:val="none"/>
                <w:lang w:val="en-US" w:eastAsia="zh-CN" w:bidi="ar"/>
              </w:rPr>
              <w:t>0</w:t>
            </w:r>
            <w:r>
              <w:rPr>
                <w:rFonts w:hint="default" w:ascii="Times New Roman" w:hAnsi="Times New Roman" w:eastAsia="宋体" w:cs="Times New Roman"/>
                <w:i w:val="0"/>
                <w:iCs w:val="0"/>
                <w:color w:val="000000"/>
                <w:kern w:val="0"/>
                <w:sz w:val="22"/>
                <w:szCs w:val="22"/>
                <w:u w:val="none"/>
                <w:lang w:val="en-US" w:eastAsia="zh-CN" w:bidi="ar"/>
              </w:rPr>
              <w:t>%</w:t>
            </w:r>
          </w:p>
        </w:tc>
        <w:tc>
          <w:tcPr>
            <w:tcW w:w="1552"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0.65%</w:t>
            </w:r>
          </w:p>
        </w:tc>
        <w:tc>
          <w:tcPr>
            <w:tcW w:w="1552"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0.</w:t>
            </w:r>
            <w:r>
              <w:rPr>
                <w:rFonts w:hint="eastAsia" w:cs="Times New Roman"/>
                <w:i w:val="0"/>
                <w:iCs w:val="0"/>
                <w:color w:val="000000"/>
                <w:kern w:val="0"/>
                <w:sz w:val="22"/>
                <w:szCs w:val="22"/>
                <w:u w:val="none"/>
                <w:lang w:val="en-US" w:eastAsia="zh-CN" w:bidi="ar"/>
              </w:rPr>
              <w:t>55</w:t>
            </w:r>
            <w:r>
              <w:rPr>
                <w:rFonts w:hint="default" w:ascii="Times New Roman" w:hAnsi="Times New Roman" w:eastAsia="宋体" w:cs="Times New Roman"/>
                <w:i w:val="0"/>
                <w:iCs w:val="0"/>
                <w:color w:val="000000"/>
                <w:kern w:val="0"/>
                <w:sz w:val="22"/>
                <w:szCs w:val="22"/>
                <w:u w:val="none"/>
                <w:lang w:val="en-US" w:eastAsia="zh-CN" w:bidi="ar"/>
              </w:rPr>
              <w:t>%</w:t>
            </w:r>
          </w:p>
        </w:tc>
        <w:tc>
          <w:tcPr>
            <w:tcW w:w="1309"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szCs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94.</w:t>
            </w:r>
            <w:r>
              <w:rPr>
                <w:rFonts w:hint="eastAsia" w:cs="Times New Roman"/>
                <w:i w:val="0"/>
                <w:iCs w:val="0"/>
                <w:color w:val="000000"/>
                <w:kern w:val="0"/>
                <w:sz w:val="22"/>
                <w:szCs w:val="22"/>
                <w:u w:val="none"/>
                <w:lang w:val="en-US" w:eastAsia="zh-CN" w:bidi="ar"/>
              </w:rPr>
              <w:t>20</w:t>
            </w:r>
            <w:r>
              <w:rPr>
                <w:rFonts w:hint="default" w:ascii="Times New Roman" w:hAnsi="Times New Roman" w:eastAsia="宋体" w:cs="Times New Roman"/>
                <w:i w:val="0"/>
                <w:iCs w:val="0"/>
                <w:color w:val="000000"/>
                <w:kern w:val="0"/>
                <w:sz w:val="22"/>
                <w:szCs w:val="22"/>
                <w:u w:val="none"/>
                <w:lang w:val="en-US" w:eastAsia="zh-CN" w:bidi="ar"/>
              </w:rPr>
              <w:t>%</w:t>
            </w:r>
          </w:p>
        </w:tc>
        <w:tc>
          <w:tcPr>
            <w:tcW w:w="1309" w:type="dxa"/>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cs="Times New Roman"/>
                <w:color w:val="000000"/>
                <w:kern w:val="0"/>
                <w:sz w:val="22"/>
                <w:u w:val="none"/>
                <w:lang w:bidi="ar"/>
              </w:rPr>
            </w:pPr>
            <w:r>
              <w:rPr>
                <w:rFonts w:hint="default" w:ascii="Times New Roman" w:hAnsi="Times New Roman" w:eastAsia="宋体" w:cs="Times New Roman"/>
                <w:i w:val="0"/>
                <w:iCs w:val="0"/>
                <w:color w:val="000000"/>
                <w:kern w:val="0"/>
                <w:sz w:val="22"/>
                <w:szCs w:val="22"/>
                <w:u w:val="none"/>
                <w:lang w:val="en-US" w:eastAsia="zh-CN" w:bidi="ar"/>
              </w:rPr>
              <w:t>100%</w:t>
            </w:r>
          </w:p>
        </w:tc>
      </w:tr>
    </w:tbl>
    <w:p>
      <w:pPr>
        <w:ind w:firstLine="480"/>
      </w:pPr>
    </w:p>
    <w:p>
      <w:pPr>
        <w:widowControl/>
        <w:spacing w:line="240" w:lineRule="auto"/>
        <w:ind w:firstLine="0" w:firstLineChars="0"/>
        <w:jc w:val="left"/>
      </w:pPr>
      <w:r>
        <w:br w:type="page"/>
      </w:r>
    </w:p>
    <w:p>
      <w:pPr>
        <w:pStyle w:val="2"/>
      </w:pPr>
      <w:bookmarkStart w:id="47" w:name="_Toc9406"/>
      <w:bookmarkStart w:id="48" w:name="_Toc96351367"/>
      <w:bookmarkStart w:id="49" w:name="_Toc95468521"/>
      <w:bookmarkStart w:id="50" w:name="_Toc17338"/>
      <w:bookmarkStart w:id="51" w:name="_Hlk96328660"/>
      <w:bookmarkStart w:id="52" w:name="_Hlk9103225"/>
      <w:r>
        <w:t>四</w:t>
      </w:r>
      <w:r>
        <w:rPr>
          <w:rFonts w:hint="eastAsia"/>
        </w:rPr>
        <w:t>、</w:t>
      </w:r>
      <w:r>
        <w:t>基准年的选择及变更</w:t>
      </w:r>
      <w:bookmarkEnd w:id="47"/>
      <w:bookmarkEnd w:id="48"/>
      <w:bookmarkEnd w:id="49"/>
      <w:bookmarkEnd w:id="50"/>
    </w:p>
    <w:p>
      <w:pPr>
        <w:pStyle w:val="3"/>
      </w:pPr>
      <w:bookmarkStart w:id="53" w:name="_bookmark20"/>
      <w:bookmarkEnd w:id="53"/>
      <w:bookmarkStart w:id="54" w:name="_Toc10543"/>
      <w:bookmarkStart w:id="55" w:name="_Toc96351368"/>
      <w:bookmarkStart w:id="56" w:name="_Toc18140"/>
      <w:bookmarkStart w:id="57" w:name="_Toc95468522"/>
      <w:r>
        <w:rPr>
          <w:rFonts w:hint="eastAsia"/>
        </w:rPr>
        <w:t>4.1</w:t>
      </w:r>
      <w:r>
        <w:t>基准年的选择</w:t>
      </w:r>
      <w:bookmarkEnd w:id="54"/>
      <w:bookmarkEnd w:id="55"/>
      <w:bookmarkEnd w:id="56"/>
      <w:bookmarkEnd w:id="57"/>
    </w:p>
    <w:p>
      <w:pPr>
        <w:ind w:firstLine="480"/>
      </w:pPr>
      <w:r>
        <w:t>广东隆达以202</w:t>
      </w:r>
      <w:r>
        <w:rPr>
          <w:rFonts w:hint="eastAsia"/>
        </w:rPr>
        <w:t>3</w:t>
      </w:r>
      <w:r>
        <w:t>年度作为温室气体盘查之基准年</w:t>
      </w:r>
      <w:r>
        <w:rPr>
          <w:rFonts w:hint="eastAsia"/>
        </w:rPr>
        <w:t>。</w:t>
      </w:r>
    </w:p>
    <w:p>
      <w:pPr>
        <w:pStyle w:val="3"/>
      </w:pPr>
      <w:bookmarkStart w:id="58" w:name="_bookmark21"/>
      <w:bookmarkEnd w:id="58"/>
      <w:bookmarkStart w:id="59" w:name="_Toc96351369"/>
      <w:bookmarkStart w:id="60" w:name="_Toc95468523"/>
      <w:bookmarkStart w:id="61" w:name="_Toc15251"/>
      <w:bookmarkStart w:id="62" w:name="_Toc10648"/>
      <w:r>
        <w:rPr>
          <w:rFonts w:hint="eastAsia"/>
        </w:rPr>
        <w:t>4.2</w:t>
      </w:r>
      <w:r>
        <w:t>基准年的变更</w:t>
      </w:r>
      <w:bookmarkEnd w:id="59"/>
      <w:bookmarkEnd w:id="60"/>
      <w:bookmarkEnd w:id="61"/>
      <w:bookmarkEnd w:id="62"/>
    </w:p>
    <w:p>
      <w:pPr>
        <w:ind w:firstLine="480"/>
      </w:pPr>
      <w:r>
        <w:rPr>
          <w:rFonts w:hint="eastAsia"/>
        </w:rPr>
        <w:t>若有下列情况发生，则公司所建立基准年盘查清册，将依据新的状况重新进行更新与计算。</w:t>
      </w:r>
    </w:p>
    <w:p>
      <w:pPr>
        <w:ind w:firstLine="480"/>
      </w:pPr>
      <w:r>
        <w:rPr>
          <w:rFonts w:hint="eastAsia"/>
        </w:rPr>
        <w:t>a）预期使用者的要求；</w:t>
      </w:r>
    </w:p>
    <w:p>
      <w:pPr>
        <w:ind w:firstLine="480"/>
      </w:pPr>
      <w:r>
        <w:rPr>
          <w:rFonts w:hint="eastAsia"/>
        </w:rPr>
        <w:t>b）运营边界改变；</w:t>
      </w:r>
    </w:p>
    <w:p>
      <w:pPr>
        <w:ind w:firstLine="480"/>
      </w:pPr>
      <w:r>
        <w:rPr>
          <w:rFonts w:hint="eastAsia"/>
        </w:rPr>
        <w:t>c）组织所有权或控制权移入或移出组织边界时；</w:t>
      </w:r>
    </w:p>
    <w:p>
      <w:pPr>
        <w:ind w:firstLine="480"/>
      </w:pPr>
      <w:r>
        <w:rPr>
          <w:rFonts w:hint="eastAsia"/>
        </w:rPr>
        <w:t>d）量化方法改变，导致温室气体排放量或移除量显著改变超过显著性门槛（5％）时。</w:t>
      </w:r>
    </w:p>
    <w:p>
      <w:pPr>
        <w:widowControl/>
        <w:spacing w:line="240" w:lineRule="auto"/>
        <w:ind w:firstLine="0" w:firstLineChars="0"/>
        <w:jc w:val="left"/>
        <w:rPr>
          <w:rFonts w:ascii="黑体" w:hAnsi="黑体" w:eastAsia="黑体" w:cs="Times New Roman"/>
          <w:sz w:val="28"/>
          <w:szCs w:val="32"/>
        </w:rPr>
      </w:pPr>
      <w:bookmarkStart w:id="63" w:name="_Toc95468524"/>
      <w:bookmarkStart w:id="64" w:name="_Toc96351370"/>
      <w:r>
        <w:rPr>
          <w:sz w:val="28"/>
        </w:rPr>
        <w:br w:type="page"/>
      </w:r>
    </w:p>
    <w:p>
      <w:pPr>
        <w:pStyle w:val="2"/>
      </w:pPr>
      <w:bookmarkStart w:id="65" w:name="_Toc21035"/>
      <w:bookmarkStart w:id="66" w:name="_Toc22065"/>
      <w:r>
        <w:t>五</w:t>
      </w:r>
      <w:r>
        <w:rPr>
          <w:rFonts w:hint="eastAsia"/>
        </w:rPr>
        <w:t>、</w:t>
      </w:r>
      <w:r>
        <w:t>数据</w:t>
      </w:r>
      <w:r>
        <w:rPr>
          <w:rFonts w:hint="eastAsia"/>
        </w:rPr>
        <w:t>质量</w:t>
      </w:r>
      <w:r>
        <w:t>管理</w:t>
      </w:r>
      <w:bookmarkEnd w:id="63"/>
      <w:bookmarkEnd w:id="64"/>
      <w:bookmarkEnd w:id="65"/>
      <w:bookmarkEnd w:id="66"/>
    </w:p>
    <w:p>
      <w:pPr>
        <w:pStyle w:val="3"/>
      </w:pPr>
      <w:bookmarkStart w:id="67" w:name="_bookmark23"/>
      <w:bookmarkEnd w:id="67"/>
      <w:bookmarkStart w:id="68" w:name="_Toc96351371"/>
      <w:bookmarkStart w:id="69" w:name="_Toc15915"/>
      <w:bookmarkStart w:id="70" w:name="_Toc26257"/>
      <w:bookmarkStart w:id="71" w:name="_Toc95468525"/>
      <w:r>
        <w:rPr>
          <w:rFonts w:hint="eastAsia"/>
        </w:rPr>
        <w:t>5.1</w:t>
      </w:r>
      <w:r>
        <w:t>温室气体排放量化方法说明</w:t>
      </w:r>
      <w:bookmarkEnd w:id="68"/>
      <w:bookmarkEnd w:id="69"/>
      <w:bookmarkEnd w:id="70"/>
      <w:bookmarkEnd w:id="71"/>
    </w:p>
    <w:p>
      <w:pPr>
        <w:pStyle w:val="4"/>
      </w:pPr>
      <w:bookmarkStart w:id="72" w:name="_Toc93932143"/>
      <w:bookmarkStart w:id="73" w:name="_Toc15791"/>
      <w:bookmarkStart w:id="74" w:name="_Toc95468526"/>
      <w:bookmarkStart w:id="75" w:name="_Toc93932377"/>
      <w:r>
        <w:rPr>
          <w:rFonts w:hint="eastAsia"/>
        </w:rPr>
        <w:t>5.1.1</w:t>
      </w:r>
      <w:r>
        <w:t>计算方法说明</w:t>
      </w:r>
      <w:bookmarkEnd w:id="72"/>
      <w:bookmarkEnd w:id="73"/>
      <w:bookmarkEnd w:id="74"/>
      <w:bookmarkEnd w:id="75"/>
    </w:p>
    <w:p>
      <w:pPr>
        <w:bidi w:val="0"/>
      </w:pPr>
      <w:r>
        <w:t>（1）排放系数法：</w:t>
      </w:r>
    </w:p>
    <w:p>
      <w:pPr>
        <w:bidi w:val="0"/>
        <w:rPr>
          <w:rFonts w:hint="eastAsia"/>
          <w:lang w:val="en-US" w:eastAsia="zh-CN"/>
        </w:rPr>
      </w:pPr>
      <w:r>
        <w:rPr>
          <w:rFonts w:hint="eastAsia"/>
          <w:lang w:val="en-US" w:eastAsia="zh-CN"/>
        </w:rPr>
        <w:t>① 固定源燃烧及移动源燃烧排放量=燃料用量</w:t>
      </w:r>
      <w:r>
        <w:t>×</w:t>
      </w:r>
      <w:r>
        <w:rPr>
          <w:rFonts w:hint="eastAsia"/>
          <w:lang w:val="en-US" w:eastAsia="zh-CN"/>
        </w:rPr>
        <w:t>燃料热值</w:t>
      </w:r>
      <w:r>
        <w:t>×</w:t>
      </w:r>
      <w:r>
        <w:rPr>
          <w:rFonts w:hint="eastAsia"/>
          <w:lang w:val="en-US" w:eastAsia="zh-CN"/>
        </w:rPr>
        <w:t>排放因子</w:t>
      </w:r>
      <w:r>
        <w:t>×</w:t>
      </w:r>
      <w:r>
        <w:rPr>
          <w:rFonts w:hint="eastAsia"/>
          <w:lang w:val="en-US" w:eastAsia="zh-CN"/>
        </w:rPr>
        <w:t>GWP值。</w:t>
      </w:r>
    </w:p>
    <w:p>
      <w:pPr>
        <w:bidi w:val="0"/>
        <w:rPr>
          <w:rFonts w:hint="eastAsia"/>
          <w:lang w:val="en-US" w:eastAsia="zh-CN"/>
        </w:rPr>
      </w:pPr>
      <w:r>
        <w:rPr>
          <w:rFonts w:hint="eastAsia"/>
          <w:lang w:val="en-US" w:eastAsia="zh-CN"/>
        </w:rPr>
        <w:t>燃料热值—《综合能耗计算通则》（GB/T2589-2020）；</w:t>
      </w:r>
    </w:p>
    <w:p>
      <w:pPr>
        <w:bidi w:val="0"/>
        <w:rPr>
          <w:rFonts w:hint="default"/>
          <w:lang w:val="en-US" w:eastAsia="zh-CN"/>
        </w:rPr>
      </w:pPr>
      <w:r>
        <w:t>CO</w:t>
      </w:r>
      <w:r>
        <w:rPr>
          <w:vertAlign w:val="subscript"/>
        </w:rPr>
        <w:t>2</w:t>
      </w:r>
      <w:r>
        <w:rPr>
          <w:rFonts w:hint="eastAsia"/>
          <w:lang w:eastAsia="zh-CN"/>
        </w:rPr>
        <w:t>、</w:t>
      </w:r>
      <w:r>
        <w:rPr>
          <w:rFonts w:hint="eastAsia"/>
          <w:lang w:val="en-US" w:eastAsia="zh-CN"/>
        </w:rPr>
        <w:t>CH</w:t>
      </w:r>
      <w:r>
        <w:rPr>
          <w:rFonts w:hint="eastAsia"/>
          <w:vertAlign w:val="subscript"/>
          <w:lang w:val="en-US" w:eastAsia="zh-CN"/>
        </w:rPr>
        <w:t>4</w:t>
      </w:r>
      <w:r>
        <w:rPr>
          <w:rFonts w:hint="eastAsia"/>
          <w:lang w:val="en-US" w:eastAsia="zh-CN"/>
        </w:rPr>
        <w:t>、N</w:t>
      </w:r>
      <w:r>
        <w:rPr>
          <w:rFonts w:hint="eastAsia"/>
          <w:vertAlign w:val="subscript"/>
          <w:lang w:val="en-US" w:eastAsia="zh-CN"/>
        </w:rPr>
        <w:t>2</w:t>
      </w:r>
      <w:r>
        <w:rPr>
          <w:rFonts w:hint="eastAsia"/>
          <w:lang w:val="en-US" w:eastAsia="zh-CN"/>
        </w:rPr>
        <w:t>O排放因子—2006年IPCC国家温室气体清单指南V2；</w:t>
      </w:r>
    </w:p>
    <w:p>
      <w:pPr>
        <w:bidi w:val="0"/>
        <w:rPr>
          <w:rFonts w:hint="eastAsia"/>
          <w:lang w:eastAsia="zh-CN"/>
        </w:rPr>
      </w:pPr>
      <w:r>
        <w:rPr>
          <w:rFonts w:hint="eastAsia"/>
          <w:lang w:val="en-US" w:eastAsia="zh-CN"/>
        </w:rPr>
        <w:t xml:space="preserve">② </w:t>
      </w:r>
      <w:r>
        <w:t>外购电力及</w:t>
      </w:r>
      <w:r>
        <w:rPr>
          <w:rFonts w:hint="eastAsia"/>
          <w:lang w:val="en-US" w:eastAsia="zh-CN"/>
        </w:rPr>
        <w:t>运输、组织使用产品</w:t>
      </w:r>
      <w:r>
        <w:t>等排放量=使用量</w:t>
      </w:r>
      <w:r>
        <w:rPr>
          <w:rFonts w:hint="eastAsia"/>
          <w:lang w:eastAsia="zh-CN"/>
        </w:rPr>
        <w:t>（</w:t>
      </w:r>
      <w:r>
        <w:t>产生量</w:t>
      </w:r>
      <w:r>
        <w:rPr>
          <w:rFonts w:hint="eastAsia"/>
          <w:lang w:eastAsia="zh-CN"/>
        </w:rPr>
        <w:t>）</w:t>
      </w:r>
      <w:r>
        <w:t>×排放系数×IPCC 2021全球暖化潜势 GWP</w:t>
      </w:r>
      <w:r>
        <w:rPr>
          <w:rFonts w:hint="eastAsia"/>
          <w:lang w:eastAsia="zh-CN"/>
        </w:rPr>
        <w:t>。</w:t>
      </w:r>
    </w:p>
    <w:p>
      <w:pPr>
        <w:bidi w:val="0"/>
        <w:rPr>
          <w:rFonts w:hint="default"/>
          <w:lang w:val="en-US" w:eastAsia="zh-CN"/>
        </w:rPr>
      </w:pPr>
      <w:r>
        <w:rPr>
          <w:rFonts w:hint="eastAsia"/>
          <w:lang w:val="en-US" w:eastAsia="zh-CN"/>
        </w:rPr>
        <w:t>排放系数—中国产品全生命周期温室气体排放系数库、Ecoinvent排放系数、生态环境部《2021年电力二氧化碳排放因子》。</w:t>
      </w:r>
    </w:p>
    <w:p>
      <w:pPr>
        <w:bidi w:val="0"/>
      </w:pPr>
      <w:r>
        <w:t>（2）质量平衡法：</w:t>
      </w:r>
    </w:p>
    <w:p>
      <w:pPr>
        <w:bidi w:val="0"/>
      </w:pPr>
      <w:r>
        <w:t>某些设施采用质量平衡法，即对设施中物质质量的进、出进行平衡计算而得出，如设备维修及制作的</w:t>
      </w:r>
      <w:r>
        <w:rPr>
          <w:rFonts w:hint="eastAsia"/>
          <w:lang w:val="en-US" w:eastAsia="zh-CN"/>
        </w:rPr>
        <w:t>焊接乙炔</w:t>
      </w:r>
      <w:r>
        <w:t>排放量的计算。</w:t>
      </w:r>
    </w:p>
    <w:p>
      <w:pPr>
        <w:bidi w:val="0"/>
        <w:rPr>
          <w:rFonts w:hint="eastAsia"/>
        </w:rPr>
      </w:pPr>
      <w:r>
        <w:rPr>
          <w:rFonts w:hint="eastAsia"/>
          <w:lang w:val="en-US" w:eastAsia="zh-CN"/>
        </w:rPr>
        <w:t>逸散法：</w:t>
      </w:r>
    </w:p>
    <w:p>
      <w:pPr>
        <w:bidi w:val="0"/>
        <w:rPr>
          <w:rFonts w:hint="eastAsia"/>
        </w:rPr>
      </w:pPr>
      <w:r>
        <w:t>制冷剂</w:t>
      </w:r>
      <w:r>
        <w:rPr>
          <w:rFonts w:hint="eastAsia"/>
          <w:lang w:val="en-US" w:eastAsia="zh-CN"/>
        </w:rPr>
        <w:t>排放量</w:t>
      </w:r>
      <w:r>
        <w:t>=温室气体逸散量×GWP</w:t>
      </w:r>
      <w:r>
        <w:rPr>
          <w:rFonts w:hint="eastAsia"/>
        </w:rPr>
        <w:t>。</w:t>
      </w:r>
    </w:p>
    <w:p>
      <w:pPr>
        <w:pStyle w:val="4"/>
      </w:pPr>
      <w:bookmarkStart w:id="76" w:name="_Toc93932378"/>
      <w:bookmarkStart w:id="77" w:name="_Toc32596"/>
      <w:bookmarkStart w:id="78" w:name="_Toc93932144"/>
      <w:bookmarkStart w:id="79" w:name="_Toc95468527"/>
      <w:r>
        <w:rPr>
          <w:rFonts w:hint="eastAsia"/>
        </w:rPr>
        <w:t>5.1.2</w:t>
      </w:r>
      <w:r>
        <w:t>排放量的计算</w:t>
      </w:r>
      <w:bookmarkEnd w:id="76"/>
      <w:bookmarkEnd w:id="77"/>
      <w:bookmarkEnd w:id="78"/>
      <w:bookmarkEnd w:id="79"/>
    </w:p>
    <w:p>
      <w:pPr>
        <w:ind w:firstLine="480"/>
      </w:pPr>
      <w:r>
        <w:t>各种不同的温室气体排放源，</w:t>
      </w:r>
      <w:r>
        <w:rPr>
          <w:rFonts w:hint="eastAsia"/>
        </w:rPr>
        <w:t>依据排放</w:t>
      </w:r>
      <w:r>
        <w:t>系数管理表选用适当的排放系数；选择排放系数后，再依2021年IPCC第六次评估报告中公告的各种温室气体全球暖化潜势GWP，将所有计算结果转化为CO</w:t>
      </w:r>
      <w:r>
        <w:rPr>
          <w:vertAlign w:val="subscript"/>
        </w:rPr>
        <w:t>2</w:t>
      </w:r>
      <w:r>
        <w:t>e</w:t>
      </w:r>
      <w:r>
        <w:rPr>
          <w:rFonts w:hint="eastAsia"/>
        </w:rPr>
        <w:t>（</w:t>
      </w:r>
      <w:r>
        <w:t>二氧化碳当量值</w:t>
      </w:r>
      <w:r>
        <w:rPr>
          <w:rFonts w:hint="eastAsia"/>
        </w:rPr>
        <w:t>）</w:t>
      </w:r>
      <w:r>
        <w:t>， 单位tCO</w:t>
      </w:r>
      <w:r>
        <w:rPr>
          <w:vertAlign w:val="subscript"/>
        </w:rPr>
        <w:t>2</w:t>
      </w:r>
      <w:r>
        <w:t>e。</w:t>
      </w:r>
    </w:p>
    <w:p>
      <w:pPr>
        <w:pStyle w:val="4"/>
      </w:pPr>
      <w:bookmarkStart w:id="80" w:name="_Toc6552"/>
      <w:bookmarkStart w:id="81" w:name="_Toc93932145"/>
      <w:bookmarkStart w:id="82" w:name="_Toc95468528"/>
      <w:bookmarkStart w:id="83" w:name="_Toc93932379"/>
      <w:r>
        <w:rPr>
          <w:rFonts w:hint="eastAsia"/>
        </w:rPr>
        <w:t>5.1.3</w:t>
      </w:r>
      <w:r>
        <w:t>量化方法选取原则</w:t>
      </w:r>
      <w:bookmarkEnd w:id="80"/>
      <w:bookmarkEnd w:id="81"/>
      <w:bookmarkEnd w:id="82"/>
      <w:bookmarkEnd w:id="83"/>
    </w:p>
    <w:p>
      <w:pPr>
        <w:ind w:firstLine="480"/>
      </w:pPr>
      <w:r>
        <w:rPr>
          <w:rFonts w:hint="eastAsia"/>
        </w:rPr>
        <w:t>原</w:t>
      </w:r>
      <w:r>
        <w:t>则上采用实测、质量平衡等方法进行量化，以保证计算的准确性，其次选择排放系数法。针对某些设施，可采用质量平衡法。其他无法得到实测数据及无法使用质量平衡法的情况下，选用排放系数法，排放系数</w:t>
      </w:r>
      <w:r>
        <w:rPr>
          <w:rFonts w:hint="eastAsia"/>
          <w:lang w:eastAsia="zh-CN"/>
        </w:rPr>
        <w:t>优先选择</w:t>
      </w:r>
      <w:r>
        <w:t xml:space="preserve">区域性排放因子，其次是国家层面排放因子、国际性排放因子。 </w:t>
      </w:r>
    </w:p>
    <w:p>
      <w:pPr>
        <w:pStyle w:val="4"/>
      </w:pPr>
      <w:bookmarkStart w:id="84" w:name="_Toc93932380"/>
      <w:bookmarkStart w:id="85" w:name="_Toc95468529"/>
      <w:bookmarkStart w:id="86" w:name="_Toc20645"/>
      <w:bookmarkStart w:id="87" w:name="_Toc93932146"/>
      <w:r>
        <w:rPr>
          <w:rFonts w:hint="eastAsia"/>
        </w:rPr>
        <w:t>5.1.4</w:t>
      </w:r>
      <w:r>
        <w:t>量化方法变更说明</w:t>
      </w:r>
      <w:bookmarkEnd w:id="84"/>
      <w:bookmarkEnd w:id="85"/>
      <w:bookmarkEnd w:id="86"/>
      <w:bookmarkEnd w:id="87"/>
    </w:p>
    <w:p>
      <w:pPr>
        <w:ind w:firstLine="480"/>
      </w:pPr>
      <w:r>
        <w:t>量化方法改变时，除了以新的量化计算方式计算外，需与原来计算方式做比较，并说明二者之差异及选用新方法的理由。</w:t>
      </w:r>
    </w:p>
    <w:p>
      <w:pPr>
        <w:pStyle w:val="3"/>
      </w:pPr>
      <w:bookmarkStart w:id="88" w:name="_bookmark24"/>
      <w:bookmarkEnd w:id="88"/>
      <w:bookmarkStart w:id="89" w:name="_Toc95468530"/>
      <w:bookmarkStart w:id="90" w:name="_Toc96351372"/>
      <w:bookmarkStart w:id="91" w:name="_Toc28579"/>
      <w:bookmarkStart w:id="92" w:name="_Toc5938"/>
      <w:r>
        <w:rPr>
          <w:rFonts w:hint="eastAsia"/>
        </w:rPr>
        <w:t>5.2</w:t>
      </w:r>
      <w:r>
        <w:t>排放系数选用说明</w:t>
      </w:r>
      <w:bookmarkEnd w:id="89"/>
      <w:bookmarkEnd w:id="90"/>
      <w:bookmarkEnd w:id="91"/>
      <w:bookmarkEnd w:id="92"/>
    </w:p>
    <w:p>
      <w:pPr>
        <w:ind w:firstLine="480"/>
      </w:pPr>
      <w:r>
        <w:t>排放系数之列表及选用说明如排放系数管理表。排放量计算系数若因资料来源之系数变更时，除重新建档及计算外，并说明变更资料与原资料之差异。</w:t>
      </w:r>
    </w:p>
    <w:p>
      <w:pPr>
        <w:pStyle w:val="3"/>
      </w:pPr>
      <w:bookmarkStart w:id="93" w:name="_bookmark25"/>
      <w:bookmarkEnd w:id="93"/>
      <w:bookmarkStart w:id="94" w:name="_Toc1328"/>
      <w:bookmarkStart w:id="95" w:name="_Toc95468531"/>
      <w:bookmarkStart w:id="96" w:name="_Toc28649"/>
      <w:bookmarkStart w:id="97" w:name="_Toc96351373"/>
      <w:r>
        <w:rPr>
          <w:rFonts w:hint="eastAsia"/>
        </w:rPr>
        <w:t>5.3</w:t>
      </w:r>
      <w:r>
        <w:t>不确定性的评估与降低</w:t>
      </w:r>
      <w:bookmarkEnd w:id="94"/>
      <w:bookmarkEnd w:id="95"/>
      <w:bookmarkEnd w:id="96"/>
      <w:bookmarkEnd w:id="97"/>
    </w:p>
    <w:p>
      <w:pPr>
        <w:ind w:firstLine="480"/>
      </w:pPr>
      <w:r>
        <w:t>本次盘查之不确定性针对广东隆达所有排放源进行评估。评估主要是进行参数（活动数据、排放因子及校正频率）的不确定性评估，其评分依据如表：</w:t>
      </w:r>
    </w:p>
    <w:p>
      <w:pPr>
        <w:pStyle w:val="20"/>
        <w:numPr>
          <w:ilvl w:val="0"/>
          <w:numId w:val="2"/>
        </w:numPr>
        <w:ind w:left="-142" w:leftChars="-59" w:firstLine="0" w:firstLineChars="0"/>
        <w:jc w:val="center"/>
      </w:pPr>
      <w:r>
        <w:t>不确定性评分依据</w:t>
      </w:r>
    </w:p>
    <w:tbl>
      <w:tblPr>
        <w:tblStyle w:val="29"/>
        <w:tblW w:w="5000" w:type="pct"/>
        <w:jc w:val="center"/>
        <w:tblLayout w:type="fixed"/>
        <w:tblCellMar>
          <w:top w:w="0" w:type="dxa"/>
          <w:left w:w="0" w:type="dxa"/>
          <w:bottom w:w="0" w:type="dxa"/>
          <w:right w:w="0" w:type="dxa"/>
        </w:tblCellMar>
      </w:tblPr>
      <w:tblGrid>
        <w:gridCol w:w="1293"/>
        <w:gridCol w:w="1294"/>
        <w:gridCol w:w="1057"/>
        <w:gridCol w:w="1293"/>
        <w:gridCol w:w="1311"/>
        <w:gridCol w:w="995"/>
        <w:gridCol w:w="987"/>
      </w:tblGrid>
      <w:tr>
        <w:tblPrEx>
          <w:tblCellMar>
            <w:top w:w="0" w:type="dxa"/>
            <w:left w:w="0" w:type="dxa"/>
            <w:bottom w:w="0" w:type="dxa"/>
            <w:right w:w="0" w:type="dxa"/>
          </w:tblCellMar>
        </w:tblPrEx>
        <w:trPr>
          <w:trHeight w:val="797" w:hRule="exac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rPr>
                <w:b/>
                <w:bCs/>
              </w:rPr>
            </w:pPr>
            <w:r>
              <w:rPr>
                <w:b/>
                <w:bCs/>
              </w:rPr>
              <w:t>Class Species</w:t>
            </w:r>
          </w:p>
        </w:tc>
        <w:tc>
          <w:tcPr>
            <w:tcW w:w="692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rPr>
                <w:b/>
                <w:bCs/>
              </w:rPr>
            </w:pPr>
            <w:r>
              <w:rPr>
                <w:b/>
                <w:bCs/>
              </w:rPr>
              <w:t>数据分类</w:t>
            </w:r>
          </w:p>
        </w:tc>
      </w:tr>
      <w:tr>
        <w:tblPrEx>
          <w:tblCellMar>
            <w:top w:w="0" w:type="dxa"/>
            <w:left w:w="0" w:type="dxa"/>
            <w:bottom w:w="0" w:type="dxa"/>
            <w:right w:w="0" w:type="dxa"/>
          </w:tblCellMar>
        </w:tblPrEx>
        <w:trPr>
          <w:trHeight w:val="336" w:hRule="exact"/>
          <w:jc w:val="center"/>
        </w:trPr>
        <w:tc>
          <w:tcPr>
            <w:tcW w:w="1289" w:type="dxa"/>
            <w:vMerge w:val="restart"/>
            <w:tcBorders>
              <w:top w:val="single" w:color="000000" w:sz="4" w:space="0"/>
              <w:left w:val="single" w:color="000000" w:sz="4" w:space="0"/>
              <w:right w:val="single" w:color="000000" w:sz="4" w:space="0"/>
            </w:tcBorders>
            <w:shd w:val="clear" w:color="auto" w:fill="auto"/>
            <w:vAlign w:val="center"/>
          </w:tcPr>
          <w:p>
            <w:pPr>
              <w:pStyle w:val="28"/>
            </w:pPr>
            <w:r>
              <w:t>活动数据</w:t>
            </w: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X=6</w:t>
            </w:r>
          </w:p>
        </w:tc>
        <w:tc>
          <w:tcPr>
            <w:tcW w:w="2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Y=3</w:t>
            </w:r>
          </w:p>
        </w:tc>
        <w:tc>
          <w:tcPr>
            <w:tcW w:w="19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Z=1</w:t>
            </w:r>
          </w:p>
        </w:tc>
      </w:tr>
      <w:tr>
        <w:trPr>
          <w:trHeight w:val="336" w:hRule="exact"/>
          <w:jc w:val="center"/>
        </w:trPr>
        <w:tc>
          <w:tcPr>
            <w:tcW w:w="1289" w:type="dxa"/>
            <w:vMerge w:val="continue"/>
            <w:tcBorders>
              <w:left w:val="single" w:color="000000" w:sz="4" w:space="0"/>
              <w:bottom w:val="single" w:color="000000" w:sz="4" w:space="0"/>
              <w:right w:val="single" w:color="000000" w:sz="4" w:space="0"/>
            </w:tcBorders>
            <w:shd w:val="clear" w:color="auto" w:fill="auto"/>
            <w:vAlign w:val="center"/>
          </w:tcPr>
          <w:p>
            <w:pPr>
              <w:pStyle w:val="28"/>
            </w:pP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自动化连续的</w:t>
            </w:r>
          </w:p>
        </w:tc>
        <w:tc>
          <w:tcPr>
            <w:tcW w:w="2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定时量度</w:t>
            </w:r>
          </w:p>
        </w:tc>
        <w:tc>
          <w:tcPr>
            <w:tcW w:w="19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估算</w:t>
            </w:r>
          </w:p>
        </w:tc>
      </w:tr>
      <w:tr>
        <w:tblPrEx>
          <w:tblCellMar>
            <w:top w:w="0" w:type="dxa"/>
            <w:left w:w="0" w:type="dxa"/>
            <w:bottom w:w="0" w:type="dxa"/>
            <w:right w:w="0" w:type="dxa"/>
          </w:tblCellMar>
        </w:tblPrEx>
        <w:trPr>
          <w:trHeight w:val="336" w:hRule="exact"/>
          <w:jc w:val="center"/>
        </w:trPr>
        <w:tc>
          <w:tcPr>
            <w:tcW w:w="1289" w:type="dxa"/>
            <w:vMerge w:val="restart"/>
            <w:tcBorders>
              <w:top w:val="single" w:color="000000" w:sz="4" w:space="0"/>
              <w:left w:val="single" w:color="000000" w:sz="4" w:space="0"/>
              <w:right w:val="single" w:color="000000" w:sz="4" w:space="0"/>
            </w:tcBorders>
            <w:shd w:val="clear" w:color="auto" w:fill="auto"/>
            <w:vAlign w:val="center"/>
          </w:tcPr>
          <w:p>
            <w:pPr>
              <w:pStyle w:val="28"/>
            </w:pPr>
            <w:r>
              <w:t>排放因子</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A=6</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B=6</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C=4</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D=3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E=2</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F=1</w:t>
            </w:r>
          </w:p>
        </w:tc>
      </w:tr>
      <w:tr>
        <w:tblPrEx>
          <w:tblCellMar>
            <w:top w:w="0" w:type="dxa"/>
            <w:left w:w="0" w:type="dxa"/>
            <w:bottom w:w="0" w:type="dxa"/>
            <w:right w:w="0" w:type="dxa"/>
          </w:tblCellMar>
        </w:tblPrEx>
        <w:trPr>
          <w:trHeight w:val="661" w:hRule="exact"/>
          <w:jc w:val="center"/>
        </w:trPr>
        <w:tc>
          <w:tcPr>
            <w:tcW w:w="1289" w:type="dxa"/>
            <w:vMerge w:val="continue"/>
            <w:tcBorders>
              <w:left w:val="single" w:color="000000" w:sz="4" w:space="0"/>
              <w:bottom w:val="single" w:color="000000" w:sz="4" w:space="0"/>
              <w:right w:val="single" w:color="000000" w:sz="4" w:space="0"/>
            </w:tcBorders>
            <w:shd w:val="clear" w:color="auto" w:fill="auto"/>
            <w:vAlign w:val="center"/>
          </w:tcPr>
          <w:p>
            <w:pPr>
              <w:pStyle w:val="28"/>
            </w:pP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计算或质量</w:t>
            </w:r>
          </w:p>
          <w:p>
            <w:pPr>
              <w:pStyle w:val="28"/>
            </w:pPr>
            <w:r>
              <w:t>平衡</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同类设施</w:t>
            </w:r>
            <w:r>
              <w:rPr>
                <w:rFonts w:hint="eastAsia"/>
                <w:lang w:eastAsia="zh-CN"/>
              </w:rPr>
              <w:t>经验</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生产商提供</w:t>
            </w:r>
          </w:p>
        </w:tc>
        <w:tc>
          <w:tcPr>
            <w:tcW w:w="130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当地因子</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地域因子</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国际因子</w:t>
            </w:r>
          </w:p>
        </w:tc>
      </w:tr>
      <w:tr>
        <w:tblPrEx>
          <w:tblCellMar>
            <w:top w:w="0" w:type="dxa"/>
            <w:left w:w="0" w:type="dxa"/>
            <w:bottom w:w="0" w:type="dxa"/>
            <w:right w:w="0" w:type="dxa"/>
          </w:tblCellMar>
        </w:tblPrEx>
        <w:trPr>
          <w:trHeight w:val="335" w:hRule="exact"/>
          <w:jc w:val="center"/>
        </w:trPr>
        <w:tc>
          <w:tcPr>
            <w:tcW w:w="1289" w:type="dxa"/>
            <w:vMerge w:val="restart"/>
            <w:tcBorders>
              <w:top w:val="single" w:color="000000" w:sz="4" w:space="0"/>
              <w:left w:val="single" w:color="000000" w:sz="4" w:space="0"/>
              <w:right w:val="single" w:color="000000" w:sz="4" w:space="0"/>
            </w:tcBorders>
            <w:shd w:val="clear" w:color="auto" w:fill="auto"/>
            <w:vAlign w:val="center"/>
          </w:tcPr>
          <w:p>
            <w:pPr>
              <w:pStyle w:val="28"/>
            </w:pPr>
            <w:r>
              <w:t>校正频率</w:t>
            </w: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L=6</w:t>
            </w:r>
          </w:p>
        </w:tc>
        <w:tc>
          <w:tcPr>
            <w:tcW w:w="2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M=3</w:t>
            </w:r>
          </w:p>
        </w:tc>
        <w:tc>
          <w:tcPr>
            <w:tcW w:w="19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S=1</w:t>
            </w:r>
          </w:p>
        </w:tc>
      </w:tr>
      <w:tr>
        <w:tblPrEx>
          <w:tblCellMar>
            <w:top w:w="0" w:type="dxa"/>
            <w:left w:w="0" w:type="dxa"/>
            <w:bottom w:w="0" w:type="dxa"/>
            <w:right w:w="0" w:type="dxa"/>
          </w:tblCellMar>
        </w:tblPrEx>
        <w:trPr>
          <w:trHeight w:val="1183" w:hRule="exact"/>
          <w:jc w:val="center"/>
        </w:trPr>
        <w:tc>
          <w:tcPr>
            <w:tcW w:w="1289" w:type="dxa"/>
            <w:vMerge w:val="continue"/>
            <w:tcBorders>
              <w:left w:val="single" w:color="000000" w:sz="4" w:space="0"/>
              <w:bottom w:val="single" w:color="000000" w:sz="4" w:space="0"/>
              <w:right w:val="single" w:color="000000" w:sz="4" w:space="0"/>
            </w:tcBorders>
            <w:shd w:val="clear" w:color="auto" w:fill="auto"/>
          </w:tcPr>
          <w:p>
            <w:pPr>
              <w:pStyle w:val="28"/>
            </w:pP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rPr>
                <w:lang w:eastAsia="zh-CN"/>
              </w:rPr>
            </w:pPr>
            <w:r>
              <w:rPr>
                <w:lang w:eastAsia="zh-CN"/>
              </w:rPr>
              <w:t>跟规定执行，结果符合要求</w:t>
            </w:r>
          </w:p>
        </w:tc>
        <w:tc>
          <w:tcPr>
            <w:tcW w:w="2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rPr>
                <w:lang w:eastAsia="zh-CN"/>
              </w:rPr>
            </w:pPr>
            <w:r>
              <w:rPr>
                <w:lang w:eastAsia="zh-CN"/>
              </w:rPr>
              <w:t>1.跟规定执行，但结果不符合要求</w:t>
            </w:r>
          </w:p>
          <w:p>
            <w:pPr>
              <w:pStyle w:val="28"/>
              <w:rPr>
                <w:lang w:eastAsia="zh-CN"/>
              </w:rPr>
            </w:pPr>
            <w:r>
              <w:rPr>
                <w:lang w:eastAsia="zh-CN"/>
              </w:rPr>
              <w:t>2.没有跟规定执行，但数据是得到确认的</w:t>
            </w:r>
          </w:p>
        </w:tc>
        <w:tc>
          <w:tcPr>
            <w:tcW w:w="19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8"/>
            </w:pPr>
            <w:r>
              <w:t>没有跟规定执行</w:t>
            </w:r>
          </w:p>
        </w:tc>
      </w:tr>
    </w:tbl>
    <w:p>
      <w:pPr>
        <w:ind w:firstLine="480"/>
      </w:pPr>
      <w:r>
        <w:rPr>
          <w:rFonts w:hint="eastAsia"/>
        </w:rPr>
        <w:t>对温室气体排放数据品质评分的计算方法为：加权平均积分总计=Σ各项排放源加权平均积分</w:t>
      </w:r>
    </w:p>
    <w:p>
      <w:pPr>
        <w:ind w:firstLine="480"/>
      </w:pPr>
      <w:r>
        <w:rPr>
          <w:rFonts w:hint="eastAsia"/>
        </w:rPr>
        <w:t>加权平均积分=平均积分×排放量占总排放量比例</w:t>
      </w:r>
    </w:p>
    <w:p>
      <w:pPr>
        <w:ind w:firstLine="480"/>
      </w:pPr>
      <w:r>
        <w:rPr>
          <w:rFonts w:hint="eastAsia"/>
        </w:rPr>
        <w:t>平均积分=（活动数据评分+排放系数数据评分+仪器校正状况）/3</w:t>
      </w:r>
    </w:p>
    <w:p>
      <w:pPr>
        <w:bidi w:val="0"/>
      </w:pPr>
      <w:r>
        <w:rPr>
          <w:rFonts w:hint="eastAsia"/>
        </w:rPr>
        <w:t>排放量占总排放量比例=排放源排放量/总排放量</w:t>
      </w:r>
    </w:p>
    <w:p>
      <w:pPr>
        <w:ind w:firstLine="480"/>
      </w:pPr>
      <w:r>
        <w:rPr>
          <w:rFonts w:hint="eastAsia"/>
        </w:rPr>
        <w:t>针对计算出的加权平均积分总计，等级评分对照表将数据品质区分成五级，级数越小表示其数据品质越佳，数据评分范围分布为：</w:t>
      </w:r>
    </w:p>
    <w:p>
      <w:pPr>
        <w:ind w:firstLine="480"/>
      </w:pPr>
      <w:r>
        <w:rPr>
          <w:rFonts w:hint="eastAsia"/>
        </w:rPr>
        <w:t>第一级≥5.0；</w:t>
      </w:r>
    </w:p>
    <w:p>
      <w:pPr>
        <w:ind w:firstLine="480"/>
      </w:pPr>
      <w:r>
        <w:rPr>
          <w:rFonts w:hint="eastAsia"/>
        </w:rPr>
        <w:t>第二级&lt;5.0，≥4.0；</w:t>
      </w:r>
    </w:p>
    <w:p>
      <w:pPr>
        <w:ind w:firstLine="480"/>
      </w:pPr>
      <w:r>
        <w:rPr>
          <w:rFonts w:hint="eastAsia"/>
        </w:rPr>
        <w:t>第三级&lt;4.0，≥3.0；</w:t>
      </w:r>
    </w:p>
    <w:p>
      <w:pPr>
        <w:ind w:firstLine="480"/>
      </w:pPr>
      <w:r>
        <w:rPr>
          <w:rFonts w:hint="eastAsia"/>
        </w:rPr>
        <w:t>第四级&lt;3.0，≥2.0；</w:t>
      </w:r>
    </w:p>
    <w:p>
      <w:pPr>
        <w:ind w:firstLine="480"/>
      </w:pPr>
      <w:r>
        <w:rPr>
          <w:rFonts w:hint="eastAsia"/>
        </w:rPr>
        <w:t>第五级&lt;2.0</w:t>
      </w:r>
    </w:p>
    <w:p>
      <w:pPr>
        <w:pStyle w:val="20"/>
        <w:numPr>
          <w:ilvl w:val="0"/>
          <w:numId w:val="2"/>
        </w:numPr>
        <w:ind w:left="-142" w:leftChars="-59" w:firstLine="0" w:firstLineChars="0"/>
        <w:jc w:val="center"/>
      </w:pPr>
      <w:r>
        <w:t>不确定性评分表</w:t>
      </w: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5"/>
        <w:gridCol w:w="1150"/>
        <w:gridCol w:w="691"/>
        <w:gridCol w:w="691"/>
        <w:gridCol w:w="691"/>
        <w:gridCol w:w="819"/>
        <w:gridCol w:w="1500"/>
        <w:gridCol w:w="1131"/>
        <w:gridCol w:w="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排放源识别</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排放源</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活动数据级别</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排放因子级别</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校正頻率級別</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平均得分</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排放量(tCO</w:t>
            </w:r>
            <w:r>
              <w:rPr>
                <w:rFonts w:hint="default" w:ascii="Times New Roman" w:hAnsi="Times New Roman" w:eastAsia="宋体" w:cs="Times New Roman"/>
                <w:b/>
                <w:bCs/>
                <w:i w:val="0"/>
                <w:iCs w:val="0"/>
                <w:color w:val="000000"/>
                <w:kern w:val="0"/>
                <w:sz w:val="21"/>
                <w:szCs w:val="21"/>
                <w:u w:val="none"/>
                <w:vertAlign w:val="subscript"/>
                <w:lang w:val="en-US" w:eastAsia="zh-CN" w:bidi="ar"/>
              </w:rPr>
              <w:t>2</w:t>
            </w:r>
            <w:r>
              <w:rPr>
                <w:rFonts w:hint="default" w:ascii="Times New Roman" w:hAnsi="Times New Roman" w:eastAsia="宋体" w:cs="Times New Roman"/>
                <w:b/>
                <w:bCs/>
                <w:i w:val="0"/>
                <w:iCs w:val="0"/>
                <w:color w:val="000000"/>
                <w:kern w:val="0"/>
                <w:sz w:val="21"/>
                <w:szCs w:val="21"/>
                <w:u w:val="none"/>
                <w:lang w:val="en-US" w:eastAsia="zh-CN" w:bidi="ar"/>
              </w:rPr>
              <w:t>e)</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排放量占比</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加权平均积分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固定式燃烧</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熔炼炉</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sz w:val="21"/>
                <w:szCs w:val="21"/>
                <w:u w:val="none"/>
              </w:rPr>
            </w:pPr>
            <w:r>
              <w:rPr>
                <w:rFonts w:hint="default" w:ascii="Times New Roman" w:hAnsi="Times New Roman" w:eastAsia="等线" w:cs="Times New Roman"/>
                <w:i w:val="0"/>
                <w:iCs w:val="0"/>
                <w:color w:val="000000"/>
                <w:kern w:val="0"/>
                <w:sz w:val="22"/>
                <w:szCs w:val="22"/>
                <w:u w:val="none"/>
                <w:lang w:val="en-US" w:eastAsia="zh-CN" w:bidi="ar"/>
              </w:rPr>
              <w:t>3.7</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等线" w:cs="Times New Roman"/>
                <w:i w:val="0"/>
                <w:iCs w:val="0"/>
                <w:color w:val="000000"/>
                <w:kern w:val="0"/>
                <w:sz w:val="22"/>
                <w:szCs w:val="22"/>
                <w:u w:val="none"/>
                <w:lang w:bidi="ar"/>
              </w:rPr>
            </w:pPr>
            <w:r>
              <w:rPr>
                <w:rFonts w:hint="default" w:ascii="Times New Roman" w:hAnsi="Times New Roman" w:eastAsia="等线" w:cs="Times New Roman"/>
                <w:i w:val="0"/>
                <w:iCs w:val="0"/>
                <w:color w:val="000000"/>
                <w:kern w:val="0"/>
                <w:sz w:val="22"/>
                <w:szCs w:val="22"/>
                <w:u w:val="none"/>
                <w:lang w:val="en-US" w:eastAsia="zh-CN" w:bidi="ar"/>
              </w:rPr>
              <w:t xml:space="preserve">12,122.73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等线" w:cs="Times New Roman"/>
                <w:i w:val="0"/>
                <w:iCs w:val="0"/>
                <w:color w:val="000000"/>
                <w:kern w:val="0"/>
                <w:sz w:val="22"/>
                <w:szCs w:val="22"/>
                <w:u w:val="none"/>
                <w:lang w:bidi="ar"/>
              </w:rPr>
            </w:pPr>
            <w:r>
              <w:rPr>
                <w:rFonts w:hint="default" w:ascii="Times New Roman" w:hAnsi="Times New Roman" w:eastAsia="等线" w:cs="Times New Roman"/>
                <w:i w:val="0"/>
                <w:iCs w:val="0"/>
                <w:color w:val="000000"/>
                <w:kern w:val="0"/>
                <w:sz w:val="22"/>
                <w:szCs w:val="22"/>
                <w:u w:val="none"/>
                <w:lang w:val="en-US" w:eastAsia="zh-CN" w:bidi="ar"/>
              </w:rPr>
              <w:t>4.46%</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0" w:firstLineChars="0"/>
              <w:jc w:val="center"/>
              <w:textAlignment w:val="center"/>
              <w:rPr>
                <w:rFonts w:hint="default" w:ascii="Times New Roman" w:hAnsi="Times New Roman" w:eastAsia="等线" w:cs="Times New Roman"/>
                <w:i w:val="0"/>
                <w:iCs w:val="0"/>
                <w:color w:val="000000"/>
                <w:kern w:val="0"/>
                <w:sz w:val="22"/>
                <w:szCs w:val="22"/>
                <w:u w:val="none"/>
                <w:lang w:bidi="ar"/>
              </w:rPr>
            </w:pPr>
            <w:r>
              <w:rPr>
                <w:rFonts w:hint="default" w:ascii="Times New Roman" w:hAnsi="Times New Roman" w:eastAsia="等线" w:cs="Times New Roman"/>
                <w:i w:val="0"/>
                <w:iCs w:val="0"/>
                <w:color w:val="000000"/>
                <w:kern w:val="0"/>
                <w:sz w:val="22"/>
                <w:szCs w:val="22"/>
                <w:u w:val="none"/>
                <w:lang w:val="en-US" w:eastAsia="zh-CN" w:bidi="ar"/>
              </w:rPr>
              <w:t xml:space="preserve">0.16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乙炔焊接</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5.0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1.46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二保焊</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5.0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11.70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液化煤气灶具</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1.61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移动式燃烧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叉车（柴油）</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312.65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0.11%</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77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皮卡车（柴油）</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2.06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公务车（汽油）</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37.70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0.01%</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生产过程其他逸散排放</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2"/>
                <w:szCs w:val="22"/>
                <w:u w:val="none"/>
                <w:lang w:val="en-US" w:eastAsia="zh-CN" w:bidi="ar"/>
              </w:rPr>
              <w:t>空调</w:t>
            </w:r>
            <w:r>
              <w:rPr>
                <w:rStyle w:val="51"/>
                <w:rFonts w:eastAsia="等线"/>
                <w:lang w:val="en-US" w:eastAsia="zh-CN" w:bidi="ar"/>
              </w:rPr>
              <w:t>-R22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0.24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空调</w:t>
            </w:r>
            <w:r>
              <w:rPr>
                <w:rStyle w:val="51"/>
                <w:rFonts w:eastAsia="等线"/>
                <w:lang w:val="en-US" w:eastAsia="zh-CN" w:bidi="ar"/>
              </w:rPr>
              <w:t>-R32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公务车冷媒</w:t>
            </w:r>
            <w:r>
              <w:rPr>
                <w:rStyle w:val="51"/>
                <w:rFonts w:eastAsia="等线"/>
                <w:lang w:val="en-US" w:eastAsia="zh-CN" w:bidi="ar"/>
              </w:rPr>
              <w:t>-R134A</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1.01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二氧化碳</w:t>
            </w:r>
          </w:p>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灭火器（3kg)</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5.0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0.01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干粉</w:t>
            </w:r>
          </w:p>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灭火器（4kg)</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5.0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0.64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手推式</w:t>
            </w:r>
          </w:p>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灭火器（8kg)</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5.0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0.48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化粪池甲烷逸散</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14.069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0.01%</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外购电力</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广东</w:t>
            </w:r>
            <w:r>
              <w:rPr>
                <w:rFonts w:hint="eastAsia" w:ascii="宋体" w:hAnsi="宋体" w:eastAsia="宋体" w:cs="宋体"/>
                <w:i w:val="0"/>
                <w:iCs w:val="0"/>
                <w:color w:val="000000"/>
                <w:kern w:val="0"/>
                <w:sz w:val="21"/>
                <w:szCs w:val="21"/>
                <w:u w:val="none"/>
                <w:lang w:val="en-US" w:eastAsia="zh-CN" w:bidi="ar"/>
              </w:rPr>
              <w:t>省</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4.0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1,772.480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0.65%</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原材料运输</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重型货车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702.519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0.26%</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中型货车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12.335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海运</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19.422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0.01%</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废弃物运输</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重型货车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126.538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0.05%</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产品运输</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重型货车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612.847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0.23%</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员工通勤</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汽车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6.743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新能源汽车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0.241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摩托车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1.814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电动公交车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1.994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员工差旅</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汽车</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6.533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飞机</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3.7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10.246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原材料提取制造</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再生铝</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17,511.837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6.44%</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工业硅</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27,154.978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9.99%</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Style w:val="52"/>
                <w:lang w:val="en-US" w:eastAsia="zh-CN" w:bidi="ar"/>
              </w:rPr>
              <w:t>镁</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862.683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0.32%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锰</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86.666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0.03%</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铜</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120.194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0.04%</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铝锭</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208,285.763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76.59%</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钛金属</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1,970.287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0.72%</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废弃物处置</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废电路板</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0.004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废石棉</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0.120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废除尘布袋</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16.078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0.01%</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废矿物油</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0.153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环保灰</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6.333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0.00%</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1"/>
                <w:szCs w:val="21"/>
                <w:u w:val="none"/>
                <w:lang w:val="en-US" w:eastAsia="zh-CN" w:bidi="ar-SA"/>
              </w:rPr>
            </w:pPr>
            <w:r>
              <w:rPr>
                <w:rStyle w:val="52"/>
                <w:lang w:val="en-US" w:eastAsia="zh-CN" w:bidi="ar"/>
              </w:rPr>
              <w:t>铝灰（再利用）</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3</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6</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3.3 </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160.426 </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0.06%</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eastAsia" w:ascii="宋体" w:hAnsi="宋体" w:eastAsia="宋体" w:cs="宋体"/>
                <w:b/>
                <w:bCs/>
                <w:color w:val="000000" w:themeColor="text1"/>
                <w:kern w:val="0"/>
                <w:sz w:val="21"/>
                <w:szCs w:val="21"/>
                <w14:textFill>
                  <w14:solidFill>
                    <w14:schemeClr w14:val="tx1"/>
                  </w14:solidFill>
                </w14:textFill>
              </w:rPr>
              <w:t>加权合计</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等线" w:cs="Times New Roman"/>
                <w:i w:val="0"/>
                <w:iCs w:val="0"/>
                <w:color w:val="000000"/>
                <w:kern w:val="0"/>
                <w:sz w:val="21"/>
                <w:szCs w:val="21"/>
                <w:u w:val="none"/>
                <w:lang w:val="en-US" w:eastAsia="zh-CN" w:bidi="ar"/>
              </w:rPr>
            </w:pPr>
            <w:r>
              <w:rPr>
                <w:rFonts w:hint="eastAsia" w:ascii="Times New Roman" w:hAnsi="Times New Roman" w:eastAsia="等线" w:cs="Times New Roman"/>
                <w:i w:val="0"/>
                <w:iCs w:val="0"/>
                <w:color w:val="000000"/>
                <w:kern w:val="0"/>
                <w:sz w:val="21"/>
                <w:szCs w:val="21"/>
                <w:u w:val="none"/>
                <w:lang w:val="en-US" w:eastAsia="zh-CN" w:bidi="ar"/>
              </w:rPr>
              <w:t>3.3</w:t>
            </w:r>
            <w:r>
              <w:rPr>
                <w:rFonts w:hint="eastAsia" w:eastAsia="等线" w:cs="Times New Roman"/>
                <w:i w:val="0"/>
                <w:iCs w:val="0"/>
                <w:color w:val="000000"/>
                <w:kern w:val="0"/>
                <w:sz w:val="21"/>
                <w:szCs w:val="21"/>
                <w:u w:val="none"/>
                <w:lang w:val="en-US" w:eastAsia="zh-CN" w:bidi="ar"/>
              </w:rPr>
              <w:t>5</w:t>
            </w:r>
          </w:p>
        </w:tc>
      </w:tr>
    </w:tbl>
    <w:p>
      <w:pPr>
        <w:bidi w:val="0"/>
      </w:pPr>
      <w:r>
        <w:t>对本次报告中的所有排放源根据上述方法进行评分所得加权平均积分总计结果为3.3</w:t>
      </w:r>
      <w:r>
        <w:rPr>
          <w:rFonts w:hint="eastAsia"/>
          <w:lang w:val="en-US" w:eastAsia="zh-CN"/>
        </w:rPr>
        <w:t>5</w:t>
      </w:r>
      <w:r>
        <w:t>，数据品质属第三级。</w:t>
      </w:r>
    </w:p>
    <w:p>
      <w:pPr>
        <w:ind w:firstLine="480"/>
        <w:rPr>
          <w:rFonts w:cs="Microsoft JhengHei"/>
          <w:b/>
          <w:szCs w:val="21"/>
        </w:rPr>
      </w:pPr>
      <w:r>
        <w:br w:type="page"/>
      </w:r>
    </w:p>
    <w:p>
      <w:pPr>
        <w:pStyle w:val="2"/>
      </w:pPr>
      <w:bookmarkStart w:id="98" w:name="_Toc13898"/>
      <w:bookmarkStart w:id="99" w:name="_Toc96351374"/>
      <w:bookmarkStart w:id="100" w:name="_Toc28707"/>
      <w:r>
        <w:rPr>
          <w:rFonts w:hint="eastAsia"/>
        </w:rPr>
        <w:t>六、本报告的查证状态和保证等级</w:t>
      </w:r>
      <w:bookmarkEnd w:id="98"/>
      <w:bookmarkEnd w:id="99"/>
      <w:bookmarkEnd w:id="100"/>
    </w:p>
    <w:p>
      <w:pPr>
        <w:pStyle w:val="3"/>
      </w:pPr>
      <w:bookmarkStart w:id="101" w:name="_Toc96351375"/>
      <w:bookmarkStart w:id="102" w:name="_Toc15816"/>
      <w:bookmarkStart w:id="103" w:name="_Toc25320"/>
      <w:r>
        <w:rPr>
          <w:rFonts w:hint="eastAsia"/>
        </w:rPr>
        <w:t>6.1内部查证</w:t>
      </w:r>
      <w:bookmarkEnd w:id="101"/>
      <w:bookmarkEnd w:id="102"/>
      <w:bookmarkEnd w:id="103"/>
    </w:p>
    <w:p>
      <w:pPr>
        <w:ind w:firstLine="480"/>
      </w:pPr>
      <w:r>
        <w:rPr>
          <w:rFonts w:hint="eastAsia"/>
        </w:rPr>
        <w:t>内部查证小组于盘查报告完成后进行查证工作。</w:t>
      </w:r>
    </w:p>
    <w:p>
      <w:pPr>
        <w:pStyle w:val="3"/>
      </w:pPr>
      <w:bookmarkStart w:id="104" w:name="_Toc96351376"/>
      <w:bookmarkStart w:id="105" w:name="_Toc3180"/>
      <w:bookmarkStart w:id="106" w:name="_Toc29405"/>
      <w:r>
        <w:rPr>
          <w:rFonts w:hint="eastAsia"/>
        </w:rPr>
        <w:t>6.2外部查证</w:t>
      </w:r>
      <w:bookmarkEnd w:id="104"/>
      <w:bookmarkEnd w:id="105"/>
      <w:bookmarkEnd w:id="106"/>
    </w:p>
    <w:p>
      <w:pPr>
        <w:ind w:firstLine="480"/>
      </w:pPr>
      <w:r>
        <w:rPr>
          <w:rFonts w:hint="eastAsia"/>
        </w:rPr>
        <w:t>经内部查证后的报告经温室气体盘查组织的主任委员核准，必要时，申请其他第三方核查机构进行核查，要求达到合理保证等级。</w:t>
      </w:r>
    </w:p>
    <w:p>
      <w:pPr>
        <w:widowControl/>
        <w:spacing w:line="240" w:lineRule="auto"/>
        <w:ind w:firstLine="0" w:firstLineChars="0"/>
        <w:jc w:val="left"/>
        <w:rPr>
          <w:rFonts w:ascii="黑体" w:hAnsi="黑体" w:eastAsia="黑体" w:cs="Times New Roman"/>
          <w:sz w:val="28"/>
          <w:szCs w:val="32"/>
        </w:rPr>
      </w:pPr>
      <w:bookmarkStart w:id="107" w:name="_Toc96351377"/>
      <w:r>
        <w:rPr>
          <w:sz w:val="28"/>
        </w:rPr>
        <w:br w:type="page"/>
      </w:r>
    </w:p>
    <w:p>
      <w:pPr>
        <w:pStyle w:val="2"/>
      </w:pPr>
      <w:bookmarkStart w:id="108" w:name="_Toc7840"/>
      <w:bookmarkStart w:id="109" w:name="_Toc29786"/>
      <w:r>
        <w:rPr>
          <w:rFonts w:hint="eastAsia"/>
        </w:rPr>
        <w:t>七、报告的发布与管理</w:t>
      </w:r>
      <w:bookmarkEnd w:id="107"/>
      <w:bookmarkEnd w:id="108"/>
      <w:bookmarkEnd w:id="109"/>
    </w:p>
    <w:p>
      <w:pPr>
        <w:ind w:firstLine="480"/>
      </w:pPr>
      <w:r>
        <w:rPr>
          <w:rFonts w:hint="eastAsia"/>
        </w:rPr>
        <w:t>在此声明本报告的编写符合ISO 14064-1：2018的标准要求。温室气体盘查报告的发布、保管依广东隆达温室气体盘查管理程序办理，若需对社会大众公开报告，须依据公司相关程序规定的发布方式办理。</w:t>
      </w:r>
    </w:p>
    <w:p>
      <w:pPr>
        <w:widowControl/>
        <w:spacing w:line="240" w:lineRule="auto"/>
        <w:ind w:firstLine="0" w:firstLineChars="0"/>
        <w:jc w:val="left"/>
        <w:rPr>
          <w:rFonts w:ascii="黑体" w:hAnsi="黑体" w:eastAsia="黑体" w:cs="Times New Roman"/>
          <w:sz w:val="28"/>
          <w:szCs w:val="32"/>
        </w:rPr>
      </w:pPr>
      <w:bookmarkStart w:id="110" w:name="_Toc96351378"/>
      <w:r>
        <w:rPr>
          <w:sz w:val="28"/>
        </w:rPr>
        <w:br w:type="page"/>
      </w:r>
    </w:p>
    <w:p>
      <w:pPr>
        <w:pStyle w:val="2"/>
      </w:pPr>
      <w:bookmarkStart w:id="111" w:name="_Toc4433"/>
      <w:bookmarkStart w:id="112" w:name="_Toc28995"/>
      <w:r>
        <w:rPr>
          <w:rFonts w:hint="eastAsia"/>
        </w:rPr>
        <w:t>八、参考文献</w:t>
      </w:r>
      <w:bookmarkEnd w:id="110"/>
      <w:bookmarkEnd w:id="111"/>
      <w:bookmarkEnd w:id="112"/>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1</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ISO 14064-1：2018在组织层面温室气体排放和移除的量化和报告指南性规范；</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2、</w:t>
      </w:r>
      <w:r>
        <w:rPr>
          <w:rFonts w:cs="Times New Roman"/>
          <w:color w:val="000000" w:themeColor="text1"/>
          <w14:textFill>
            <w14:solidFill>
              <w14:schemeClr w14:val="tx1"/>
            </w14:solidFill>
          </w14:textFill>
        </w:rPr>
        <w:t>《2006年IPCC国家温室气体清单指南》；</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r>
        <w:rPr>
          <w:rFonts w:cs="Times New Roman"/>
          <w:color w:val="000000" w:themeColor="text1"/>
          <w14:textFill>
            <w14:solidFill>
              <w14:schemeClr w14:val="tx1"/>
            </w14:solidFill>
          </w14:textFill>
        </w:rPr>
        <w:t>《综合能耗计算通则》</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GB/T 2589-2020</w:t>
      </w:r>
      <w:r>
        <w:rPr>
          <w:rFonts w:hint="eastAsia" w:cs="Times New Roman"/>
          <w:color w:val="000000" w:themeColor="text1"/>
          <w:lang w:eastAsia="zh-CN"/>
          <w14:textFill>
            <w14:solidFill>
              <w14:schemeClr w14:val="tx1"/>
            </w14:solidFill>
          </w14:textFill>
        </w:rPr>
        <w:t>）</w:t>
      </w:r>
      <w:r>
        <w:rPr>
          <w:rFonts w:cs="Times New Roman"/>
          <w:color w:val="000000" w:themeColor="text1"/>
          <w14:textFill>
            <w14:solidFill>
              <w14:schemeClr w14:val="tx1"/>
            </w14:solidFill>
          </w14:textFill>
        </w:rPr>
        <w:t>；</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hint="eastAsia"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4、《温室气体排放核算与报告要求 第4部分：铝冶炼企业》（GB∕T 32151.4-2015）；</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5、《车用柴油（</w:t>
      </w:r>
      <w:r>
        <w:rPr>
          <w:rFonts w:hint="default" w:ascii="Times New Roman" w:hAnsi="Times New Roman" w:cs="Times New Roman"/>
          <w:color w:val="000000" w:themeColor="text1"/>
          <w:lang w:val="en-US" w:eastAsia="zh-CN"/>
          <w14:textFill>
            <w14:solidFill>
              <w14:schemeClr w14:val="tx1"/>
            </w14:solidFill>
          </w14:textFill>
        </w:rPr>
        <w:t>Ⅵ</w:t>
      </w:r>
      <w:r>
        <w:rPr>
          <w:rFonts w:hint="eastAsia" w:cs="Times New Roman"/>
          <w:color w:val="000000" w:themeColor="text1"/>
          <w:lang w:val="en-US" w:eastAsia="zh-CN"/>
          <w14:textFill>
            <w14:solidFill>
              <w14:schemeClr w14:val="tx1"/>
            </w14:solidFill>
          </w14:textFill>
        </w:rPr>
        <w:t>）》（GB19147-2016）；</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6、《车用汽油》（GB17930-2016）；</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7、生态环境部</w:t>
      </w:r>
      <w:r>
        <w:rPr>
          <w:rFonts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2021年电力</w:t>
      </w:r>
      <w:r>
        <w:rPr>
          <w:rFonts w:cs="Times New Roman"/>
          <w:color w:val="000000" w:themeColor="text1"/>
          <w14:textFill>
            <w14:solidFill>
              <w14:schemeClr w14:val="tx1"/>
            </w14:solidFill>
          </w14:textFill>
        </w:rPr>
        <w:t>二氧化碳排放因子》；</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8、</w:t>
      </w:r>
      <w:r>
        <w:rPr>
          <w:rFonts w:cs="Times New Roman"/>
          <w:color w:val="000000" w:themeColor="text1"/>
          <w14:textFill>
            <w14:solidFill>
              <w14:schemeClr w14:val="tx1"/>
            </w14:solidFill>
          </w14:textFill>
        </w:rPr>
        <w:t>《IPCC 第六次评估报告（2021）》全球暖化潜势（GWP）；</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9、</w:t>
      </w:r>
      <w:r>
        <w:rPr>
          <w:rFonts w:cs="Times New Roman"/>
          <w:color w:val="000000" w:themeColor="text1"/>
          <w14:textFill>
            <w14:solidFill>
              <w14:schemeClr w14:val="tx1"/>
            </w14:solidFill>
          </w14:textFill>
        </w:rPr>
        <w:t>《中国产品全生命周期温室气体排放系数库》；</w:t>
      </w:r>
    </w:p>
    <w:p>
      <w:pPr>
        <w:pStyle w:val="48"/>
        <w:keepNext w:val="0"/>
        <w:keepLines w:val="0"/>
        <w:pageBreakBefore w:val="0"/>
        <w:widowControl/>
        <w:numPr>
          <w:ilvl w:val="0"/>
          <w:numId w:val="0"/>
        </w:numPr>
        <w:kinsoku/>
        <w:wordWrap/>
        <w:overflowPunct/>
        <w:topLinePunct w:val="0"/>
        <w:autoSpaceDE/>
        <w:autoSpaceDN/>
        <w:bidi w:val="0"/>
        <w:adjustRightInd/>
        <w:snapToGrid/>
        <w:ind w:left="0" w:leftChars="0"/>
        <w:textAlignment w:val="auto"/>
        <w:rPr>
          <w:rFonts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10、</w:t>
      </w:r>
      <w:r>
        <w:rPr>
          <w:rFonts w:cs="Times New Roman"/>
          <w:color w:val="000000" w:themeColor="text1"/>
          <w14:textFill>
            <w14:solidFill>
              <w14:schemeClr w14:val="tx1"/>
            </w14:solidFill>
          </w14:textFill>
        </w:rPr>
        <w:t>Ecoinvent数据库（v3.9.1）。</w:t>
      </w:r>
    </w:p>
    <w:p>
      <w:pPr>
        <w:pStyle w:val="30"/>
        <w:ind w:firstLine="480"/>
        <w:sectPr>
          <w:headerReference r:id="rId13" w:type="even"/>
          <w:pgSz w:w="11906" w:h="16838"/>
          <w:pgMar w:top="1417" w:right="1701" w:bottom="1417" w:left="1701" w:header="851" w:footer="992" w:gutter="283"/>
          <w:cols w:space="0" w:num="1"/>
          <w:docGrid w:type="lines" w:linePitch="333" w:charSpace="0"/>
        </w:sectPr>
      </w:pPr>
    </w:p>
    <w:p>
      <w:pPr>
        <w:pStyle w:val="2"/>
        <w:rPr>
          <w:rFonts w:hint="eastAsia"/>
        </w:rPr>
      </w:pPr>
      <w:bookmarkStart w:id="113" w:name="_Toc30109"/>
      <w:bookmarkStart w:id="114" w:name="_Toc4805"/>
      <w:r>
        <w:t>附件：</w:t>
      </w:r>
      <w:r>
        <w:rPr>
          <w:rFonts w:hint="eastAsia"/>
        </w:rPr>
        <w:t>广东隆达温室气体排放清册（2</w:t>
      </w:r>
      <w:r>
        <w:t>02</w:t>
      </w:r>
      <w:r>
        <w:rPr>
          <w:rFonts w:hint="eastAsia"/>
        </w:rPr>
        <w:t>3年）</w:t>
      </w:r>
      <w:bookmarkEnd w:id="113"/>
      <w:bookmarkEnd w:id="114"/>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7"/>
        <w:gridCol w:w="1070"/>
        <w:gridCol w:w="1254"/>
        <w:gridCol w:w="1098"/>
        <w:gridCol w:w="1443"/>
        <w:gridCol w:w="584"/>
        <w:gridCol w:w="1139"/>
        <w:gridCol w:w="886"/>
        <w:gridCol w:w="769"/>
        <w:gridCol w:w="150"/>
        <w:gridCol w:w="796"/>
        <w:gridCol w:w="826"/>
        <w:gridCol w:w="797"/>
        <w:gridCol w:w="860"/>
        <w:gridCol w:w="230"/>
        <w:gridCol w:w="487"/>
        <w:gridCol w:w="273"/>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18"/>
            <w:vMerge w:val="restart"/>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rPr>
            </w:pPr>
            <w:r>
              <w:rPr>
                <w:rFonts w:hint="eastAsia"/>
                <w:b/>
                <w:bCs/>
                <w:sz w:val="24"/>
                <w:szCs w:val="28"/>
                <w:lang w:val="en-US" w:eastAsia="zh-CN"/>
              </w:rPr>
              <w:t>类别</w:t>
            </w:r>
            <w:r>
              <w:rPr>
                <w:rFonts w:hint="default"/>
                <w:b/>
                <w:bCs/>
                <w:sz w:val="24"/>
                <w:szCs w:val="28"/>
                <w:lang w:val="en-US" w:eastAsia="zh-CN"/>
              </w:rPr>
              <w:t>1</w:t>
            </w:r>
            <w:r>
              <w:rPr>
                <w:rFonts w:hint="eastAsia"/>
                <w:b/>
                <w:bCs/>
                <w:sz w:val="24"/>
                <w:szCs w:val="28"/>
                <w:lang w:val="en-US" w:eastAsia="zh-CN"/>
              </w:rPr>
              <w:t>：直接排放温室气体排放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000" w:type="pct"/>
            <w:gridSpan w:val="18"/>
            <w:vMerge w:val="continue"/>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7"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排放源识别</w:t>
            </w:r>
          </w:p>
        </w:tc>
        <w:tc>
          <w:tcPr>
            <w:tcW w:w="376"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排放源</w:t>
            </w:r>
          </w:p>
        </w:tc>
        <w:tc>
          <w:tcPr>
            <w:tcW w:w="440"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能源品种</w:t>
            </w:r>
            <w:r>
              <w:rPr>
                <w:rFonts w:hint="default"/>
                <w:b/>
                <w:bCs/>
                <w:sz w:val="21"/>
                <w:szCs w:val="21"/>
                <w:lang w:val="en-US" w:eastAsia="zh-CN"/>
              </w:rPr>
              <w:t>/</w:t>
            </w:r>
            <w:r>
              <w:rPr>
                <w:rFonts w:hint="eastAsia"/>
                <w:b/>
                <w:bCs/>
                <w:sz w:val="21"/>
                <w:szCs w:val="21"/>
                <w:lang w:val="en-US" w:eastAsia="zh-CN"/>
              </w:rPr>
              <w:t>冷媒种类</w:t>
            </w:r>
          </w:p>
        </w:tc>
        <w:tc>
          <w:tcPr>
            <w:tcW w:w="386"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活动数据</w:t>
            </w:r>
          </w:p>
        </w:tc>
        <w:tc>
          <w:tcPr>
            <w:tcW w:w="507"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热值</w:t>
            </w:r>
          </w:p>
        </w:tc>
        <w:tc>
          <w:tcPr>
            <w:tcW w:w="917" w:type="pct"/>
            <w:gridSpan w:val="3"/>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CO</w:t>
            </w:r>
            <w:r>
              <w:rPr>
                <w:b/>
                <w:bCs/>
                <w:sz w:val="21"/>
                <w:szCs w:val="21"/>
                <w:vertAlign w:val="subscript"/>
                <w:lang w:val="en-US" w:eastAsia="zh-CN"/>
              </w:rPr>
              <w:t>2</w:t>
            </w:r>
          </w:p>
        </w:tc>
        <w:tc>
          <w:tcPr>
            <w:tcW w:w="603" w:type="pct"/>
            <w:gridSpan w:val="3"/>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CH</w:t>
            </w:r>
            <w:r>
              <w:rPr>
                <w:b/>
                <w:bCs/>
                <w:sz w:val="21"/>
                <w:szCs w:val="21"/>
                <w:vertAlign w:val="subscript"/>
                <w:lang w:val="en-US" w:eastAsia="zh-CN"/>
              </w:rPr>
              <w:t>4</w:t>
            </w:r>
          </w:p>
        </w:tc>
        <w:tc>
          <w:tcPr>
            <w:tcW w:w="570"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N</w:t>
            </w:r>
            <w:r>
              <w:rPr>
                <w:b/>
                <w:bCs/>
                <w:sz w:val="21"/>
                <w:szCs w:val="21"/>
                <w:vertAlign w:val="subscript"/>
                <w:lang w:val="en-US" w:eastAsia="zh-CN"/>
              </w:rPr>
              <w:t>2</w:t>
            </w:r>
            <w:r>
              <w:rPr>
                <w:rFonts w:hint="default"/>
                <w:b/>
                <w:bCs/>
                <w:sz w:val="21"/>
                <w:szCs w:val="21"/>
                <w:lang w:val="en-US" w:eastAsia="zh-CN"/>
              </w:rPr>
              <w:t>O</w:t>
            </w:r>
          </w:p>
        </w:tc>
        <w:tc>
          <w:tcPr>
            <w:tcW w:w="554" w:type="pct"/>
            <w:gridSpan w:val="3"/>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HFCs</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总排放量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440"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86"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50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lang w:val="en-US" w:eastAsia="zh-CN"/>
              </w:rPr>
            </w:pPr>
            <w:r>
              <w:rPr>
                <w:rFonts w:hint="eastAsia"/>
                <w:b/>
                <w:bCs/>
                <w:sz w:val="21"/>
                <w:szCs w:val="21"/>
                <w:lang w:val="en-US" w:eastAsia="zh-CN"/>
              </w:rPr>
              <w:t>排放因子</w:t>
            </w:r>
          </w:p>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kgCO</w:t>
            </w:r>
            <w:r>
              <w:rPr>
                <w:b/>
                <w:bCs/>
                <w:sz w:val="21"/>
                <w:szCs w:val="21"/>
                <w:vertAlign w:val="subscript"/>
                <w:lang w:val="en-US" w:eastAsia="zh-CN"/>
              </w:rPr>
              <w:t>2</w:t>
            </w:r>
            <w:r>
              <w:rPr>
                <w:rFonts w:hint="default"/>
                <w:b/>
                <w:bCs/>
                <w:sz w:val="21"/>
                <w:szCs w:val="21"/>
                <w:lang w:val="en-US" w:eastAsia="zh-CN"/>
              </w:rPr>
              <w:t>/TJ</w:t>
            </w:r>
            <w:r>
              <w:rPr>
                <w:rFonts w:hint="eastAsia"/>
                <w:b/>
                <w:bCs/>
                <w:sz w:val="21"/>
                <w:szCs w:val="21"/>
                <w:lang w:val="en-US" w:eastAsia="zh-CN"/>
              </w:rPr>
              <w:t>（</w:t>
            </w:r>
            <w:r>
              <w:rPr>
                <w:rFonts w:hint="default"/>
                <w:b/>
                <w:bCs/>
                <w:sz w:val="21"/>
                <w:szCs w:val="21"/>
                <w:lang w:val="en-US" w:eastAsia="zh-CN"/>
              </w:rPr>
              <w:t>kgCO</w:t>
            </w:r>
            <w:r>
              <w:rPr>
                <w:b/>
                <w:bCs/>
                <w:sz w:val="21"/>
                <w:szCs w:val="21"/>
                <w:vertAlign w:val="subscript"/>
                <w:lang w:val="en-US" w:eastAsia="zh-CN"/>
              </w:rPr>
              <w:t>2</w:t>
            </w:r>
            <w:r>
              <w:rPr>
                <w:rFonts w:hint="default"/>
                <w:b/>
                <w:bCs/>
                <w:sz w:val="21"/>
                <w:szCs w:val="21"/>
                <w:lang w:val="en-US" w:eastAsia="zh-CN"/>
              </w:rPr>
              <w:t>/kg</w:t>
            </w:r>
            <w:r>
              <w:rPr>
                <w:rFonts w:hint="eastAsia"/>
                <w:b/>
                <w:bCs/>
                <w:sz w:val="21"/>
                <w:szCs w:val="21"/>
                <w:lang w:val="en-US" w:eastAsia="zh-CN"/>
              </w:rPr>
              <w:t>）</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GWP</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lang w:val="en-US" w:eastAsia="zh-CN"/>
              </w:rPr>
            </w:pPr>
            <w:r>
              <w:rPr>
                <w:rFonts w:hint="eastAsia"/>
                <w:b/>
                <w:bCs/>
                <w:sz w:val="21"/>
                <w:szCs w:val="21"/>
                <w:lang w:val="en-US" w:eastAsia="zh-CN"/>
              </w:rPr>
              <w:t>排放因子</w:t>
            </w:r>
          </w:p>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kgCH</w:t>
            </w:r>
            <w:r>
              <w:rPr>
                <w:b/>
                <w:bCs/>
                <w:sz w:val="21"/>
                <w:szCs w:val="21"/>
                <w:lang w:val="en-US" w:eastAsia="zh-CN"/>
              </w:rPr>
              <w:t>4</w:t>
            </w:r>
            <w:r>
              <w:rPr>
                <w:rFonts w:hint="default"/>
                <w:b/>
                <w:bCs/>
                <w:sz w:val="21"/>
                <w:szCs w:val="21"/>
                <w:lang w:val="en-US" w:eastAsia="zh-CN"/>
              </w:rPr>
              <w:t>/TJ</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GWP</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lang w:val="en-US" w:eastAsia="zh-CN"/>
              </w:rPr>
            </w:pPr>
            <w:r>
              <w:rPr>
                <w:rFonts w:hint="eastAsia"/>
                <w:b/>
                <w:bCs/>
                <w:sz w:val="21"/>
                <w:szCs w:val="21"/>
                <w:lang w:val="en-US" w:eastAsia="zh-CN"/>
              </w:rPr>
              <w:t>排放因子</w:t>
            </w:r>
          </w:p>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kgN</w:t>
            </w:r>
            <w:r>
              <w:rPr>
                <w:b/>
                <w:bCs/>
                <w:sz w:val="21"/>
                <w:szCs w:val="21"/>
                <w:vertAlign w:val="subscript"/>
                <w:lang w:val="en-US" w:eastAsia="zh-CN"/>
              </w:rPr>
              <w:t>2</w:t>
            </w:r>
            <w:r>
              <w:rPr>
                <w:rFonts w:hint="default"/>
                <w:b/>
                <w:bCs/>
                <w:sz w:val="21"/>
                <w:szCs w:val="21"/>
                <w:lang w:val="en-US" w:eastAsia="zh-CN"/>
              </w:rPr>
              <w:t>O/TJ</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GWP</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排放因子</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GWP</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rPr>
            </w:pPr>
            <w:r>
              <w:rPr>
                <w:rFonts w:hint="default"/>
                <w:b/>
                <w:bCs/>
                <w:sz w:val="21"/>
                <w:szCs w:val="21"/>
                <w:lang w:val="en-US" w:eastAsia="zh-CN"/>
              </w:rPr>
              <w:t>tCO</w:t>
            </w:r>
            <w:r>
              <w:rPr>
                <w:b/>
                <w:bCs/>
                <w:sz w:val="21"/>
                <w:szCs w:val="21"/>
                <w:vertAlign w:val="subscript"/>
                <w:lang w:val="en-US" w:eastAsia="zh-CN"/>
              </w:rPr>
              <w:t>2</w:t>
            </w:r>
            <w:r>
              <w:rPr>
                <w:rFonts w:hint="default"/>
                <w:b/>
                <w:bCs/>
                <w:sz w:val="21"/>
                <w:szCs w:val="21"/>
                <w:lang w:val="en-US" w:eastAsia="zh-CN"/>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7"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固定式燃烧</w:t>
            </w:r>
          </w:p>
        </w:tc>
        <w:tc>
          <w:tcPr>
            <w:tcW w:w="376" w:type="pct"/>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熔炼炉</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天然气</w:t>
            </w:r>
          </w:p>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（万m</w:t>
            </w:r>
            <w:r>
              <w:rPr>
                <w:rFonts w:hint="eastAsia"/>
                <w:sz w:val="21"/>
                <w:szCs w:val="21"/>
                <w:vertAlign w:val="superscript"/>
                <w:lang w:val="en-US" w:eastAsia="zh-CN"/>
              </w:rPr>
              <w:t>3</w:t>
            </w:r>
            <w:r>
              <w:rPr>
                <w:rFonts w:hint="eastAsia"/>
                <w:sz w:val="21"/>
                <w:szCs w:val="21"/>
                <w:lang w:val="en-US" w:eastAsia="zh-CN"/>
              </w:rPr>
              <w:t>）</w:t>
            </w:r>
          </w:p>
        </w:tc>
        <w:tc>
          <w:tcPr>
            <w:tcW w:w="386" w:type="pct"/>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kern w:val="0"/>
                <w:sz w:val="21"/>
                <w:szCs w:val="21"/>
              </w:rPr>
            </w:pPr>
            <w:r>
              <w:rPr>
                <w:rFonts w:hint="default" w:ascii="Times New Roman" w:hAnsi="Times New Roman" w:eastAsia="宋体" w:cstheme="minorBidi"/>
                <w:i w:val="0"/>
                <w:iCs w:val="0"/>
                <w:kern w:val="0"/>
                <w:sz w:val="21"/>
                <w:szCs w:val="21"/>
                <w:u w:val="none"/>
                <w:lang w:val="en-US" w:eastAsia="zh-CN" w:bidi="ar-SA"/>
              </w:rPr>
              <w:t>554.52</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389.31</w:t>
            </w:r>
          </w:p>
          <w:p>
            <w:pPr>
              <w:pStyle w:val="28"/>
              <w:keepNext w:val="0"/>
              <w:keepLines w:val="0"/>
              <w:pageBreakBefore w:val="0"/>
              <w:kinsoku/>
              <w:wordWrap/>
              <w:overflowPunct/>
              <w:topLinePunct w:val="0"/>
              <w:autoSpaceDE/>
              <w:autoSpaceDN/>
              <w:bidi w:val="0"/>
              <w:adjustRightInd/>
              <w:snapToGrid/>
              <w:spacing w:line="240" w:lineRule="auto"/>
              <w:jc w:val="left"/>
              <w:rPr>
                <w:rFonts w:hint="eastAsia"/>
                <w:sz w:val="21"/>
                <w:szCs w:val="21"/>
              </w:rPr>
            </w:pPr>
            <w:r>
              <w:rPr>
                <w:rFonts w:hint="eastAsia"/>
                <w:sz w:val="21"/>
                <w:szCs w:val="21"/>
                <w:lang w:val="en-US" w:eastAsia="zh-CN"/>
              </w:rPr>
              <w:t>（GJ/万Nm</w:t>
            </w:r>
            <w:r>
              <w:rPr>
                <w:rFonts w:hint="eastAsia"/>
                <w:sz w:val="21"/>
                <w:szCs w:val="21"/>
                <w:vertAlign w:val="superscript"/>
                <w:lang w:val="en-US" w:eastAsia="zh-CN"/>
              </w:rPr>
              <w:t>3</w:t>
            </w: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56</w:t>
            </w:r>
            <w:r>
              <w:rPr>
                <w:rFonts w:hint="eastAsia"/>
                <w:sz w:val="21"/>
                <w:szCs w:val="21"/>
                <w:lang w:val="en-US" w:eastAsia="zh-CN"/>
              </w:rPr>
              <w:t>,</w:t>
            </w:r>
            <w:r>
              <w:rPr>
                <w:rFonts w:hint="default"/>
                <w:sz w:val="21"/>
                <w:szCs w:val="21"/>
                <w:lang w:val="en-US" w:eastAsia="zh-CN"/>
              </w:rPr>
              <w:t>100</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27.9</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0.1</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273</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415" w:type="pct"/>
            <w:gridSpan w:val="2"/>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kern w:val="0"/>
                <w:sz w:val="21"/>
                <w:szCs w:val="21"/>
                <w:u w:val="none"/>
              </w:rPr>
            </w:pPr>
            <w:r>
              <w:rPr>
                <w:rFonts w:hint="default" w:ascii="Times New Roman" w:hAnsi="Times New Roman" w:eastAsia="宋体" w:cstheme="minorBidi"/>
                <w:i w:val="0"/>
                <w:iCs w:val="0"/>
                <w:kern w:val="0"/>
                <w:sz w:val="21"/>
                <w:szCs w:val="21"/>
                <w:u w:val="none"/>
                <w:lang w:val="en-US" w:eastAsia="zh-CN" w:bidi="ar-SA"/>
              </w:rPr>
              <w:t xml:space="preserve">12,122.73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乙炔焊接</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乙炔（kg）</w:t>
            </w:r>
          </w:p>
        </w:tc>
        <w:tc>
          <w:tcPr>
            <w:tcW w:w="386" w:type="pct"/>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kern w:val="0"/>
                <w:sz w:val="21"/>
                <w:szCs w:val="21"/>
                <w:u w:val="none"/>
              </w:rPr>
            </w:pPr>
            <w:r>
              <w:rPr>
                <w:rFonts w:hint="default" w:ascii="Times New Roman" w:hAnsi="Times New Roman" w:eastAsia="宋体" w:cstheme="minorBidi"/>
                <w:i w:val="0"/>
                <w:iCs w:val="0"/>
                <w:kern w:val="0"/>
                <w:sz w:val="21"/>
                <w:szCs w:val="21"/>
                <w:u w:val="none"/>
                <w:lang w:val="en-US" w:eastAsia="zh-CN" w:bidi="ar-SA"/>
              </w:rPr>
              <w:t>4</w:t>
            </w:r>
            <w:r>
              <w:rPr>
                <w:rFonts w:hint="eastAsia" w:cstheme="minorBidi"/>
                <w:i w:val="0"/>
                <w:iCs w:val="0"/>
                <w:kern w:val="0"/>
                <w:sz w:val="21"/>
                <w:szCs w:val="21"/>
                <w:u w:val="none"/>
                <w:lang w:val="en-US" w:eastAsia="zh-CN" w:bidi="ar-SA"/>
              </w:rPr>
              <w:t>30</w:t>
            </w:r>
            <w:r>
              <w:rPr>
                <w:rFonts w:hint="default" w:ascii="Times New Roman" w:hAnsi="Times New Roman" w:eastAsia="宋体" w:cstheme="minorBidi"/>
                <w:i w:val="0"/>
                <w:iCs w:val="0"/>
                <w:kern w:val="0"/>
                <w:sz w:val="21"/>
                <w:szCs w:val="21"/>
                <w:u w:val="none"/>
                <w:lang w:val="en-US" w:eastAsia="zh-CN" w:bidi="ar-SA"/>
              </w:rPr>
              <w:t xml:space="preserve">.00 </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 xml:space="preserve">3.38 </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415" w:type="pct"/>
            <w:gridSpan w:val="2"/>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kern w:val="0"/>
                <w:sz w:val="21"/>
                <w:szCs w:val="21"/>
                <w:u w:val="none"/>
                <w:lang w:val="en-US"/>
              </w:rPr>
            </w:pPr>
            <w:r>
              <w:rPr>
                <w:rFonts w:hint="default" w:ascii="Times New Roman" w:hAnsi="Times New Roman" w:eastAsia="宋体" w:cstheme="minorBidi"/>
                <w:i w:val="0"/>
                <w:iCs w:val="0"/>
                <w:kern w:val="0"/>
                <w:sz w:val="21"/>
                <w:szCs w:val="21"/>
                <w:u w:val="none"/>
                <w:lang w:val="en-US" w:eastAsia="zh-CN" w:bidi="ar-SA"/>
              </w:rPr>
              <w:t>1.</w:t>
            </w:r>
            <w:r>
              <w:rPr>
                <w:rFonts w:hint="eastAsia" w:cstheme="minorBidi"/>
                <w:i w:val="0"/>
                <w:iCs w:val="0"/>
                <w:kern w:val="0"/>
                <w:sz w:val="21"/>
                <w:szCs w:val="21"/>
                <w:u w:val="none"/>
                <w:lang w:val="en-US" w:eastAsia="zh-CN" w:bidi="ar-SA"/>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二保焊</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CO</w:t>
            </w:r>
            <w:r>
              <w:rPr>
                <w:rFonts w:hint="eastAsia"/>
                <w:sz w:val="21"/>
                <w:szCs w:val="21"/>
                <w:vertAlign w:val="subscript"/>
                <w:lang w:val="en-US" w:eastAsia="zh-CN"/>
              </w:rPr>
              <w:t>2</w:t>
            </w:r>
            <w:r>
              <w:rPr>
                <w:rFonts w:hint="eastAsia"/>
                <w:sz w:val="21"/>
                <w:szCs w:val="21"/>
                <w:lang w:val="en-US" w:eastAsia="zh-CN"/>
              </w:rPr>
              <w:t>（kg）</w:t>
            </w:r>
          </w:p>
        </w:tc>
        <w:tc>
          <w:tcPr>
            <w:tcW w:w="386" w:type="pct"/>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11,700.00</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1</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w:t>
            </w:r>
          </w:p>
        </w:tc>
        <w:tc>
          <w:tcPr>
            <w:tcW w:w="415" w:type="pct"/>
            <w:gridSpan w:val="2"/>
            <w:tcBorders>
              <w:tl2br w:val="nil"/>
              <w:tr2bl w:val="nil"/>
            </w:tcBorders>
            <w:shd w:val="clear" w:color="auto" w:fill="auto"/>
            <w:noWrap/>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11.70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sz w:val="21"/>
                <w:szCs w:val="21"/>
              </w:rPr>
            </w:pPr>
            <w:r>
              <w:rPr>
                <w:rFonts w:hint="eastAsia" w:ascii="宋体" w:hAnsi="宋体" w:eastAsia="宋体" w:cs="宋体"/>
                <w:i w:val="0"/>
                <w:iCs w:val="0"/>
                <w:color w:val="000000"/>
                <w:kern w:val="0"/>
                <w:sz w:val="21"/>
                <w:szCs w:val="21"/>
                <w:u w:val="none"/>
                <w:lang w:val="en-US" w:eastAsia="zh-CN" w:bidi="ar"/>
              </w:rPr>
              <w:t>液化煤气灶具</w:t>
            </w:r>
          </w:p>
        </w:tc>
        <w:tc>
          <w:tcPr>
            <w:tcW w:w="44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sz w:val="21"/>
                <w:szCs w:val="21"/>
              </w:rPr>
            </w:pPr>
            <w:r>
              <w:rPr>
                <w:rFonts w:hint="eastAsia" w:ascii="宋体" w:hAnsi="宋体" w:eastAsia="宋体" w:cs="宋体"/>
                <w:i w:val="0"/>
                <w:iCs w:val="0"/>
                <w:color w:val="000000"/>
                <w:kern w:val="0"/>
                <w:sz w:val="21"/>
                <w:szCs w:val="21"/>
                <w:u w:val="none"/>
                <w:lang w:val="en-US" w:eastAsia="zh-CN" w:bidi="ar"/>
              </w:rPr>
              <w:t>液化煤气</w:t>
            </w:r>
            <w:r>
              <w:rPr>
                <w:rFonts w:hint="eastAsia" w:ascii="宋体" w:hAnsi="宋体" w:cs="宋体"/>
                <w:i w:val="0"/>
                <w:iCs w:val="0"/>
                <w:color w:val="000000"/>
                <w:kern w:val="0"/>
                <w:sz w:val="21"/>
                <w:szCs w:val="21"/>
                <w:u w:val="none"/>
                <w:lang w:val="en-US" w:eastAsia="zh-CN" w:bidi="ar"/>
              </w:rPr>
              <w:t>（万</w:t>
            </w:r>
            <w:r>
              <w:rPr>
                <w:rFonts w:hint="eastAsia"/>
                <w:sz w:val="21"/>
                <w:szCs w:val="21"/>
                <w:lang w:val="en-US" w:eastAsia="zh-CN"/>
              </w:rPr>
              <w:t>m</w:t>
            </w:r>
            <w:r>
              <w:rPr>
                <w:rFonts w:hint="eastAsia"/>
                <w:sz w:val="21"/>
                <w:szCs w:val="21"/>
                <w:vertAlign w:val="superscript"/>
                <w:lang w:val="en-US" w:eastAsia="zh-CN"/>
              </w:rPr>
              <w:t>3</w:t>
            </w:r>
            <w:r>
              <w:rPr>
                <w:rFonts w:hint="eastAsia" w:ascii="宋体" w:hAnsi="宋体" w:cs="宋体"/>
                <w:i w:val="0"/>
                <w:iCs w:val="0"/>
                <w:color w:val="000000"/>
                <w:kern w:val="0"/>
                <w:sz w:val="21"/>
                <w:szCs w:val="21"/>
                <w:u w:val="none"/>
                <w:lang w:val="en-US" w:eastAsia="zh-CN" w:bidi="ar"/>
              </w:rPr>
              <w:t>）</w:t>
            </w:r>
          </w:p>
        </w:tc>
        <w:tc>
          <w:tcPr>
            <w:tcW w:w="386" w:type="pct"/>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kern w:val="0"/>
                <w:sz w:val="21"/>
                <w:szCs w:val="21"/>
                <w:u w:val="none"/>
              </w:rPr>
            </w:pPr>
            <w:r>
              <w:rPr>
                <w:rFonts w:hint="default" w:ascii="Times New Roman" w:hAnsi="Times New Roman" w:eastAsia="宋体" w:cstheme="minorBidi"/>
                <w:i w:val="0"/>
                <w:iCs w:val="0"/>
                <w:kern w:val="0"/>
                <w:sz w:val="21"/>
                <w:szCs w:val="21"/>
                <w:u w:val="none"/>
                <w:lang w:val="en-US" w:eastAsia="zh-CN" w:bidi="ar-SA"/>
              </w:rPr>
              <w:t xml:space="preserve">0.69 </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52.27</w:t>
            </w:r>
          </w:p>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lang w:val="en-US"/>
              </w:rPr>
            </w:pPr>
            <w:r>
              <w:rPr>
                <w:rFonts w:hint="eastAsia"/>
                <w:sz w:val="21"/>
                <w:szCs w:val="21"/>
                <w:lang w:val="en-US" w:eastAsia="zh-CN"/>
              </w:rPr>
              <w:t>（GJ/万Nm</w:t>
            </w:r>
            <w:r>
              <w:rPr>
                <w:rFonts w:hint="eastAsia"/>
                <w:sz w:val="21"/>
                <w:szCs w:val="21"/>
                <w:vertAlign w:val="superscript"/>
                <w:lang w:val="en-US" w:eastAsia="zh-CN"/>
              </w:rPr>
              <w:t>3</w:t>
            </w: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rPr>
            </w:pPr>
            <w:r>
              <w:rPr>
                <w:rFonts w:hint="eastAsia"/>
                <w:sz w:val="21"/>
                <w:szCs w:val="21"/>
                <w:lang w:val="en-US" w:eastAsia="zh-CN"/>
              </w:rPr>
              <w:t>44,400</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1</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rPr>
            </w:pPr>
            <w:r>
              <w:rPr>
                <w:rFonts w:hint="default"/>
                <w:sz w:val="21"/>
                <w:szCs w:val="21"/>
                <w:lang w:val="en-US" w:eastAsia="zh-CN"/>
              </w:rPr>
              <w:t>27.9</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rPr>
            </w:pPr>
            <w:r>
              <w:rPr>
                <w:rFonts w:hint="default"/>
                <w:sz w:val="21"/>
                <w:szCs w:val="21"/>
                <w:lang w:val="en-US" w:eastAsia="zh-CN"/>
              </w:rPr>
              <w:t>0.1</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rPr>
            </w:pPr>
            <w:r>
              <w:rPr>
                <w:rFonts w:hint="default"/>
                <w:sz w:val="21"/>
                <w:szCs w:val="21"/>
                <w:lang w:val="en-US" w:eastAsia="zh-CN"/>
              </w:rPr>
              <w:t>273</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kern w:val="0"/>
                <w:sz w:val="21"/>
                <w:szCs w:val="21"/>
                <w:u w:val="none"/>
              </w:rPr>
            </w:pPr>
            <w:r>
              <w:rPr>
                <w:rFonts w:hint="default" w:ascii="Times New Roman" w:hAnsi="Times New Roman" w:eastAsia="宋体" w:cstheme="minorBidi"/>
                <w:i w:val="0"/>
                <w:iCs w:val="0"/>
                <w:kern w:val="0"/>
                <w:sz w:val="21"/>
                <w:szCs w:val="21"/>
                <w:u w:val="none"/>
                <w:lang w:val="en-US" w:eastAsia="zh-CN" w:bidi="ar-SA"/>
              </w:rPr>
              <w:t>1.6</w:t>
            </w:r>
            <w:r>
              <w:rPr>
                <w:rFonts w:hint="eastAsia" w:cstheme="minorBidi"/>
                <w:i w:val="0"/>
                <w:iCs w:val="0"/>
                <w:kern w:val="0"/>
                <w:sz w:val="21"/>
                <w:szCs w:val="21"/>
                <w:u w:val="none"/>
                <w:lang w:val="en-US" w:eastAsia="zh-CN" w:bidi="ar-SA"/>
              </w:rPr>
              <w:t>1</w:t>
            </w:r>
            <w:r>
              <w:rPr>
                <w:rFonts w:hint="default" w:ascii="Times New Roman" w:hAnsi="Times New Roman" w:eastAsia="宋体" w:cstheme="minorBidi"/>
                <w:i w:val="0"/>
                <w:iCs w:val="0"/>
                <w:kern w:val="0"/>
                <w:sz w:val="21"/>
                <w:szCs w:val="21"/>
                <w:u w:val="non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移动式燃烧</w:t>
            </w: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叉车</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柴油（t）</w:t>
            </w:r>
          </w:p>
        </w:tc>
        <w:tc>
          <w:tcPr>
            <w:tcW w:w="386" w:type="pct"/>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default" w:ascii="Times New Roman" w:hAnsi="Times New Roman" w:eastAsia="宋体" w:cstheme="minorBidi"/>
                <w:i w:val="0"/>
                <w:iCs w:val="0"/>
                <w:kern w:val="0"/>
                <w:sz w:val="21"/>
                <w:szCs w:val="21"/>
                <w:u w:val="none"/>
                <w:lang w:val="en-US" w:eastAsia="zh-CN" w:bidi="ar-SA"/>
              </w:rPr>
              <w:t>121.41</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42.705（</w:t>
            </w:r>
            <w:r>
              <w:rPr>
                <w:rFonts w:hint="default"/>
                <w:sz w:val="21"/>
                <w:szCs w:val="21"/>
                <w:lang w:val="en-US" w:eastAsia="zh-CN"/>
              </w:rPr>
              <w:t>GJ/t</w:t>
            </w: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74</w:t>
            </w:r>
            <w:r>
              <w:rPr>
                <w:rFonts w:hint="eastAsia"/>
                <w:sz w:val="21"/>
                <w:szCs w:val="21"/>
                <w:lang w:val="en-US" w:eastAsia="zh-CN"/>
              </w:rPr>
              <w:t>,</w:t>
            </w:r>
            <w:r>
              <w:rPr>
                <w:rFonts w:hint="default"/>
                <w:sz w:val="21"/>
                <w:szCs w:val="21"/>
                <w:lang w:val="en-US" w:eastAsia="zh-CN"/>
              </w:rPr>
              <w:t>100</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3</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27.9</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rPr>
            </w:pPr>
            <w:r>
              <w:rPr>
                <w:rFonts w:hint="eastAsia"/>
                <w:sz w:val="21"/>
                <w:szCs w:val="21"/>
                <w:lang w:val="en-US" w:eastAsia="zh-CN"/>
              </w:rPr>
              <w:t>0.6</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273</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312.65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皮卡车</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柴油（t）</w:t>
            </w:r>
          </w:p>
        </w:tc>
        <w:tc>
          <w:tcPr>
            <w:tcW w:w="386" w:type="pct"/>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0.65</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heme="minorBidi"/>
                <w:kern w:val="0"/>
                <w:sz w:val="21"/>
                <w:szCs w:val="21"/>
                <w:lang w:val="en-US" w:eastAsia="zh-CN" w:bidi="ar-SA"/>
              </w:rPr>
            </w:pPr>
            <w:r>
              <w:rPr>
                <w:rFonts w:hint="eastAsia"/>
                <w:sz w:val="21"/>
                <w:szCs w:val="21"/>
                <w:lang w:val="en-US" w:eastAsia="zh-CN"/>
              </w:rPr>
              <w:t>42.705（</w:t>
            </w:r>
            <w:r>
              <w:rPr>
                <w:rFonts w:hint="default"/>
                <w:sz w:val="21"/>
                <w:szCs w:val="21"/>
                <w:lang w:val="en-US" w:eastAsia="zh-CN"/>
              </w:rPr>
              <w:t>GJ/t</w:t>
            </w: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74</w:t>
            </w:r>
            <w:r>
              <w:rPr>
                <w:rFonts w:hint="eastAsia"/>
                <w:sz w:val="21"/>
                <w:szCs w:val="21"/>
                <w:lang w:val="en-US" w:eastAsia="zh-CN"/>
              </w:rPr>
              <w:t>,</w:t>
            </w:r>
            <w:r>
              <w:rPr>
                <w:rFonts w:hint="default"/>
                <w:sz w:val="21"/>
                <w:szCs w:val="21"/>
                <w:lang w:val="en-US" w:eastAsia="zh-CN"/>
              </w:rPr>
              <w:t>100</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heme="minorBidi"/>
                <w:kern w:val="0"/>
                <w:sz w:val="21"/>
                <w:szCs w:val="21"/>
                <w:lang w:val="en-US" w:eastAsia="zh-CN" w:bidi="ar-SA"/>
              </w:rPr>
            </w:pPr>
            <w:r>
              <w:rPr>
                <w:rFonts w:hint="eastAsia"/>
                <w:sz w:val="21"/>
                <w:szCs w:val="21"/>
                <w:lang w:val="en-US" w:eastAsia="zh-CN"/>
              </w:rPr>
              <w:t>3</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27.9</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ascii="Times New Roman" w:hAnsi="Times New Roman" w:eastAsia="宋体" w:cstheme="minorBidi"/>
                <w:kern w:val="0"/>
                <w:sz w:val="21"/>
                <w:szCs w:val="21"/>
                <w:lang w:val="en-US" w:eastAsia="zh-CN" w:bidi="ar-SA"/>
              </w:rPr>
            </w:pPr>
            <w:r>
              <w:rPr>
                <w:rFonts w:hint="eastAsia"/>
                <w:sz w:val="21"/>
                <w:szCs w:val="21"/>
                <w:lang w:val="en-US" w:eastAsia="zh-CN"/>
              </w:rPr>
              <w:t>0.6</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273</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公务车</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汽油（t）</w:t>
            </w:r>
          </w:p>
        </w:tc>
        <w:tc>
          <w:tcPr>
            <w:tcW w:w="386" w:type="pct"/>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default" w:ascii="Times New Roman" w:hAnsi="Times New Roman" w:eastAsia="宋体" w:cstheme="minorBidi"/>
                <w:i w:val="0"/>
                <w:iCs w:val="0"/>
                <w:kern w:val="0"/>
                <w:sz w:val="21"/>
                <w:szCs w:val="21"/>
                <w:u w:val="none"/>
                <w:lang w:val="en-US" w:eastAsia="zh-CN" w:bidi="ar-SA"/>
              </w:rPr>
              <w:t>12.32</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43.124（</w:t>
            </w:r>
            <w:r>
              <w:rPr>
                <w:rFonts w:hint="default"/>
                <w:sz w:val="21"/>
                <w:szCs w:val="21"/>
                <w:lang w:val="en-US" w:eastAsia="zh-CN"/>
              </w:rPr>
              <w:t>GJ/t</w:t>
            </w:r>
            <w:r>
              <w:rPr>
                <w:rFonts w:hint="eastAsia"/>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74</w:t>
            </w:r>
            <w:r>
              <w:rPr>
                <w:rFonts w:hint="eastAsia"/>
                <w:sz w:val="21"/>
                <w:szCs w:val="21"/>
                <w:lang w:val="en-US" w:eastAsia="zh-CN"/>
              </w:rPr>
              <w:t>,</w:t>
            </w:r>
            <w:r>
              <w:rPr>
                <w:rFonts w:hint="default"/>
                <w:sz w:val="21"/>
                <w:szCs w:val="21"/>
                <w:lang w:val="en-US" w:eastAsia="zh-CN"/>
              </w:rPr>
              <w:t>100</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3</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27.9</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rPr>
            </w:pPr>
            <w:r>
              <w:rPr>
                <w:rFonts w:hint="eastAsia"/>
                <w:sz w:val="21"/>
                <w:szCs w:val="21"/>
                <w:lang w:val="en-US" w:eastAsia="zh-CN"/>
              </w:rPr>
              <w:t>0.6</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273</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宋体" w:cstheme="minorBidi"/>
                <w:i w:val="0"/>
                <w:iCs w:val="0"/>
                <w:kern w:val="0"/>
                <w:sz w:val="21"/>
                <w:szCs w:val="21"/>
                <w:u w:val="none"/>
                <w:lang w:val="en-US" w:eastAsia="zh-CN" w:bidi="ar-SA"/>
              </w:rPr>
            </w:pPr>
            <w:r>
              <w:rPr>
                <w:rFonts w:hint="eastAsia" w:cstheme="minorBidi"/>
                <w:i w:val="0"/>
                <w:iCs w:val="0"/>
                <w:kern w:val="0"/>
                <w:sz w:val="21"/>
                <w:szCs w:val="21"/>
                <w:u w:val="none"/>
                <w:lang w:val="en-US" w:eastAsia="zh-CN" w:bidi="ar-SA"/>
              </w:rPr>
              <w:t>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生产过程其他逸散排放</w:t>
            </w: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空调</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R22</w:t>
            </w:r>
            <w:r>
              <w:rPr>
                <w:rFonts w:hint="eastAsia"/>
                <w:sz w:val="21"/>
                <w:szCs w:val="21"/>
                <w:lang w:val="en-US" w:eastAsia="zh-CN"/>
              </w:rPr>
              <w:t>（t）</w:t>
            </w:r>
          </w:p>
        </w:tc>
        <w:tc>
          <w:tcPr>
            <w:tcW w:w="38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0.72</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0.05</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960</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 xml:space="preserve">70.56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空调</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R32</w:t>
            </w:r>
            <w:r>
              <w:rPr>
                <w:rFonts w:hint="eastAsia"/>
                <w:sz w:val="21"/>
                <w:szCs w:val="21"/>
                <w:lang w:val="en-US" w:eastAsia="zh-CN"/>
              </w:rPr>
              <w:t>（t）</w:t>
            </w:r>
          </w:p>
        </w:tc>
        <w:tc>
          <w:tcPr>
            <w:tcW w:w="38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0.26</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0.05</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771</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 xml:space="preserve">10.02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公务车冷媒</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default"/>
                <w:sz w:val="21"/>
                <w:szCs w:val="21"/>
                <w:lang w:val="en-US" w:eastAsia="zh-CN"/>
              </w:rPr>
              <w:t>R134A</w:t>
            </w:r>
            <w:r>
              <w:rPr>
                <w:rFonts w:hint="eastAsia"/>
                <w:sz w:val="21"/>
                <w:szCs w:val="21"/>
                <w:lang w:val="en-US" w:eastAsia="zh-CN"/>
              </w:rPr>
              <w:t>（t）</w:t>
            </w:r>
          </w:p>
        </w:tc>
        <w:tc>
          <w:tcPr>
            <w:tcW w:w="38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0.01</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1</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1</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0.085</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1</w:t>
            </w:r>
            <w:r>
              <w:rPr>
                <w:rFonts w:hint="eastAsia"/>
                <w:sz w:val="21"/>
                <w:szCs w:val="21"/>
                <w:lang w:val="en-US" w:eastAsia="zh-CN"/>
              </w:rPr>
              <w:t>,</w:t>
            </w:r>
            <w:r>
              <w:rPr>
                <w:rFonts w:hint="default"/>
                <w:sz w:val="21"/>
                <w:szCs w:val="21"/>
                <w:lang w:val="en-US" w:eastAsia="zh-CN"/>
              </w:rPr>
              <w:t>530</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default"/>
                <w:sz w:val="21"/>
                <w:szCs w:val="21"/>
                <w:lang w:val="en-US" w:eastAsia="zh-CN"/>
              </w:rPr>
              <w:t xml:space="preserve">1.30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二氧化碳灭火器（</w:t>
            </w:r>
            <w:r>
              <w:rPr>
                <w:rFonts w:hint="default"/>
                <w:sz w:val="21"/>
                <w:szCs w:val="21"/>
                <w:lang w:val="en-US" w:eastAsia="zh-CN"/>
              </w:rPr>
              <w:t>3kg)</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二氧化碳（t）</w:t>
            </w:r>
          </w:p>
        </w:tc>
        <w:tc>
          <w:tcPr>
            <w:tcW w:w="386"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sz w:val="21"/>
                <w:szCs w:val="21"/>
                <w:lang w:val="en-US" w:eastAsia="zh-CN"/>
              </w:rPr>
            </w:pPr>
            <w:r>
              <w:rPr>
                <w:rFonts w:hint="default" w:ascii="Times New Roman" w:hAnsi="Times New Roman" w:eastAsia="等线" w:cs="Times New Roman"/>
                <w:i w:val="0"/>
                <w:iCs w:val="0"/>
                <w:color w:val="000000"/>
                <w:kern w:val="0"/>
                <w:sz w:val="22"/>
                <w:szCs w:val="22"/>
                <w:u w:val="none"/>
                <w:lang w:val="en-US" w:eastAsia="zh-CN" w:bidi="ar"/>
              </w:rPr>
              <w:t>0.009</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1</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sz w:val="21"/>
                <w:szCs w:val="21"/>
                <w:lang w:val="en-US" w:eastAsia="zh-CN"/>
              </w:rPr>
            </w:pPr>
            <w:r>
              <w:rPr>
                <w:rFonts w:hint="eastAsia"/>
                <w:sz w:val="21"/>
                <w:szCs w:val="21"/>
                <w:lang w:val="en-US" w:eastAsia="zh-CN"/>
              </w:rPr>
              <w:t>1</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sz w:val="21"/>
                <w:szCs w:val="21"/>
                <w:lang w:val="en-US" w:eastAsia="zh-CN"/>
              </w:rPr>
            </w:pPr>
            <w:r>
              <w:rPr>
                <w:rFonts w:hint="default" w:ascii="Times New Roman" w:hAnsi="Times New Roman" w:eastAsia="等线" w:cs="Times New Roman"/>
                <w:i w:val="0"/>
                <w:iCs w:val="0"/>
                <w:color w:val="000000"/>
                <w:kern w:val="0"/>
                <w:sz w:val="22"/>
                <w:szCs w:val="22"/>
                <w:u w:val="none"/>
                <w:lang w:val="en-US" w:eastAsia="zh-CN" w:bidi="ar"/>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干粉灭火器（</w:t>
            </w:r>
            <w:r>
              <w:rPr>
                <w:rFonts w:hint="default"/>
                <w:sz w:val="21"/>
                <w:szCs w:val="21"/>
                <w:lang w:val="en-US" w:eastAsia="zh-CN"/>
              </w:rPr>
              <w:t>4kg)</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二氧化碳（t）</w:t>
            </w:r>
          </w:p>
        </w:tc>
        <w:tc>
          <w:tcPr>
            <w:tcW w:w="386"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sz w:val="21"/>
                <w:szCs w:val="21"/>
                <w:lang w:val="en-US" w:eastAsia="zh-CN"/>
              </w:rPr>
            </w:pPr>
            <w:r>
              <w:rPr>
                <w:rFonts w:hint="default" w:ascii="Times New Roman" w:hAnsi="Times New Roman" w:eastAsia="等线" w:cs="Times New Roman"/>
                <w:i w:val="0"/>
                <w:iCs w:val="0"/>
                <w:color w:val="000000"/>
                <w:kern w:val="0"/>
                <w:sz w:val="22"/>
                <w:szCs w:val="22"/>
                <w:u w:val="none"/>
                <w:lang w:val="en-US" w:eastAsia="zh-CN" w:bidi="ar"/>
              </w:rPr>
              <w:t>0.64</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1</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sz w:val="21"/>
                <w:szCs w:val="21"/>
                <w:lang w:val="en-US" w:eastAsia="zh-CN"/>
              </w:rPr>
            </w:pPr>
            <w:r>
              <w:rPr>
                <w:rFonts w:hint="eastAsia"/>
                <w:sz w:val="21"/>
                <w:szCs w:val="21"/>
                <w:lang w:val="en-US" w:eastAsia="zh-CN"/>
              </w:rPr>
              <w:t>1</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default"/>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default"/>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手推式灭火器（</w:t>
            </w:r>
            <w:r>
              <w:rPr>
                <w:rFonts w:hint="default"/>
                <w:sz w:val="21"/>
                <w:szCs w:val="21"/>
                <w:lang w:val="en-US" w:eastAsia="zh-CN"/>
              </w:rPr>
              <w:t>8kg)</w:t>
            </w:r>
          </w:p>
        </w:tc>
        <w:tc>
          <w:tcPr>
            <w:tcW w:w="44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lang w:val="en-US" w:eastAsia="zh-CN"/>
              </w:rPr>
            </w:pPr>
            <w:r>
              <w:rPr>
                <w:rFonts w:hint="eastAsia"/>
                <w:sz w:val="21"/>
                <w:szCs w:val="21"/>
                <w:lang w:val="en-US" w:eastAsia="zh-CN"/>
              </w:rPr>
              <w:t>二氧化碳（t）</w:t>
            </w:r>
          </w:p>
        </w:tc>
        <w:tc>
          <w:tcPr>
            <w:tcW w:w="386"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sz w:val="21"/>
                <w:szCs w:val="21"/>
                <w:lang w:val="en-US" w:eastAsia="zh-CN"/>
              </w:rPr>
            </w:pPr>
            <w:r>
              <w:rPr>
                <w:rFonts w:hint="default" w:ascii="Times New Roman" w:hAnsi="Times New Roman" w:eastAsia="等线" w:cs="Times New Roman"/>
                <w:i w:val="0"/>
                <w:iCs w:val="0"/>
                <w:color w:val="000000"/>
                <w:kern w:val="0"/>
                <w:sz w:val="22"/>
                <w:szCs w:val="22"/>
                <w:u w:val="none"/>
                <w:lang w:val="en-US" w:eastAsia="zh-CN" w:bidi="ar"/>
              </w:rPr>
              <w:t>0.48</w:t>
            </w:r>
          </w:p>
        </w:tc>
        <w:tc>
          <w:tcPr>
            <w:tcW w:w="507"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1</w:t>
            </w:r>
          </w:p>
        </w:tc>
        <w:tc>
          <w:tcPr>
            <w:tcW w:w="60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eastAsia"/>
                <w:sz w:val="21"/>
                <w:szCs w:val="21"/>
                <w:lang w:val="en-US" w:eastAsia="zh-CN"/>
              </w:rPr>
            </w:pPr>
            <w:r>
              <w:rPr>
                <w:rFonts w:hint="eastAsia"/>
                <w:sz w:val="21"/>
                <w:szCs w:val="21"/>
                <w:lang w:val="en-US" w:eastAsia="zh-CN"/>
              </w:rPr>
              <w:t>1</w:t>
            </w:r>
          </w:p>
        </w:tc>
        <w:tc>
          <w:tcPr>
            <w:tcW w:w="311"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2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7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9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80"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302"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252"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ind w:firstLine="0" w:firstLineChars="0"/>
              <w:rPr>
                <w:rFonts w:hint="default"/>
                <w:sz w:val="21"/>
                <w:szCs w:val="21"/>
                <w:lang w:val="en-US" w:eastAsia="zh-CN"/>
              </w:rPr>
            </w:pPr>
            <w:r>
              <w:rPr>
                <w:rFonts w:hint="eastAsia"/>
                <w:sz w:val="21"/>
                <w:szCs w:val="21"/>
                <w:lang w:val="en-US" w:eastAsia="zh-CN"/>
              </w:rPr>
              <w:t>/</w:t>
            </w:r>
          </w:p>
        </w:tc>
        <w:tc>
          <w:tcPr>
            <w:tcW w:w="415" w:type="pct"/>
            <w:gridSpan w:val="2"/>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员工化粪池</w:t>
            </w:r>
          </w:p>
        </w:tc>
        <w:tc>
          <w:tcPr>
            <w:tcW w:w="827" w:type="pct"/>
            <w:gridSpan w:val="2"/>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员工工作情况（人·天）</w:t>
            </w:r>
          </w:p>
        </w:tc>
        <w:tc>
          <w:tcPr>
            <w:tcW w:w="712" w:type="pct"/>
            <w:gridSpan w:val="2"/>
            <w:vMerge w:val="restart"/>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特定国家</w:t>
            </w:r>
            <w:r>
              <w:rPr>
                <w:rFonts w:hint="default"/>
                <w:sz w:val="21"/>
                <w:szCs w:val="21"/>
                <w:lang w:val="en-US" w:eastAsia="zh-CN"/>
              </w:rPr>
              <w:t>/</w:t>
            </w:r>
            <w:r>
              <w:rPr>
                <w:rFonts w:hint="eastAsia"/>
                <w:sz w:val="21"/>
                <w:szCs w:val="21"/>
                <w:lang w:val="en-US" w:eastAsia="zh-CN"/>
              </w:rPr>
              <w:t>地区人均</w:t>
            </w:r>
            <w:r>
              <w:rPr>
                <w:rFonts w:hint="default"/>
                <w:sz w:val="21"/>
                <w:szCs w:val="21"/>
                <w:lang w:val="en-US" w:eastAsia="zh-CN"/>
              </w:rPr>
              <w:t>BOD</w:t>
            </w:r>
            <w:r>
              <w:rPr>
                <w:rFonts w:hint="eastAsia"/>
                <w:sz w:val="21"/>
                <w:szCs w:val="21"/>
                <w:lang w:val="en-US" w:eastAsia="zh-CN"/>
              </w:rPr>
              <w:t>产生量</w:t>
            </w:r>
            <w:r>
              <w:rPr>
                <w:rFonts w:hint="default"/>
                <w:sz w:val="21"/>
                <w:szCs w:val="21"/>
                <w:lang w:val="en-US" w:eastAsia="zh-CN"/>
              </w:rPr>
              <w:t>g/</w:t>
            </w:r>
            <w:r>
              <w:rPr>
                <w:rFonts w:hint="eastAsia"/>
                <w:sz w:val="21"/>
                <w:szCs w:val="21"/>
                <w:lang w:val="en-US" w:eastAsia="zh-CN"/>
              </w:rPr>
              <w:t>（人</w:t>
            </w:r>
            <w:r>
              <w:rPr>
                <w:rFonts w:hint="default"/>
                <w:sz w:val="21"/>
                <w:szCs w:val="21"/>
                <w:lang w:val="en-US" w:eastAsia="zh-CN"/>
              </w:rPr>
              <w:t>•</w:t>
            </w:r>
            <w:r>
              <w:rPr>
                <w:rFonts w:hint="eastAsia"/>
                <w:sz w:val="21"/>
                <w:szCs w:val="21"/>
                <w:lang w:val="en-US" w:eastAsia="zh-CN"/>
              </w:rPr>
              <w:t>天）</w:t>
            </w:r>
          </w:p>
        </w:tc>
        <w:tc>
          <w:tcPr>
            <w:tcW w:w="982" w:type="pct"/>
            <w:gridSpan w:val="3"/>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甲烷最大产生能力</w:t>
            </w:r>
            <w:r>
              <w:rPr>
                <w:rFonts w:hint="default"/>
                <w:sz w:val="21"/>
                <w:szCs w:val="21"/>
                <w:lang w:val="en-US" w:eastAsia="zh-CN"/>
              </w:rPr>
              <w:t>Bo(kgCH</w:t>
            </w:r>
            <w:r>
              <w:rPr>
                <w:sz w:val="21"/>
                <w:szCs w:val="21"/>
                <w:vertAlign w:val="subscript"/>
                <w:lang w:val="en-US" w:eastAsia="zh-CN"/>
              </w:rPr>
              <w:t>4</w:t>
            </w:r>
            <w:r>
              <w:rPr>
                <w:rFonts w:hint="default"/>
                <w:sz w:val="21"/>
                <w:szCs w:val="21"/>
                <w:lang w:val="en-US" w:eastAsia="zh-CN"/>
              </w:rPr>
              <w:t>/kgBOD)</w:t>
            </w:r>
          </w:p>
        </w:tc>
        <w:tc>
          <w:tcPr>
            <w:tcW w:w="903" w:type="pct"/>
            <w:gridSpan w:val="4"/>
            <w:vMerge w:val="restar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r>
              <w:rPr>
                <w:rFonts w:hint="eastAsia"/>
                <w:sz w:val="21"/>
                <w:szCs w:val="21"/>
                <w:lang w:val="en-US" w:eastAsia="zh-CN"/>
              </w:rPr>
              <w:t>甲烷修正因子（比例）</w:t>
            </w:r>
            <w:r>
              <w:rPr>
                <w:rFonts w:hint="default"/>
                <w:sz w:val="21"/>
                <w:szCs w:val="21"/>
                <w:lang w:val="en-US" w:eastAsia="zh-CN"/>
              </w:rPr>
              <w:t>MCF</w:t>
            </w:r>
          </w:p>
        </w:tc>
        <w:tc>
          <w:tcPr>
            <w:tcW w:w="970" w:type="pct"/>
            <w:gridSpan w:val="5"/>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CH</w:t>
            </w:r>
            <w:r>
              <w:rPr>
                <w:sz w:val="21"/>
                <w:szCs w:val="21"/>
                <w:vertAlign w:val="sub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827" w:type="pct"/>
            <w:gridSpan w:val="2"/>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712" w:type="pct"/>
            <w:gridSpan w:val="2"/>
            <w:vMerge w:val="continue"/>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982" w:type="pct"/>
            <w:gridSpan w:val="3"/>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903" w:type="pct"/>
            <w:gridSpan w:val="4"/>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8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lang w:val="en-US" w:eastAsia="zh-CN"/>
              </w:rPr>
            </w:pPr>
            <w:r>
              <w:rPr>
                <w:rFonts w:hint="eastAsia"/>
                <w:sz w:val="21"/>
                <w:szCs w:val="21"/>
                <w:lang w:val="en-US" w:eastAsia="zh-CN"/>
              </w:rPr>
              <w:t>排放因子</w:t>
            </w:r>
          </w:p>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kgCH</w:t>
            </w:r>
            <w:r>
              <w:rPr>
                <w:sz w:val="21"/>
                <w:szCs w:val="21"/>
                <w:vertAlign w:val="subscript"/>
                <w:lang w:val="en-US" w:eastAsia="zh-CN"/>
              </w:rPr>
              <w:t>4</w:t>
            </w:r>
            <w:r>
              <w:rPr>
                <w:rFonts w:hint="default"/>
                <w:sz w:val="21"/>
                <w:szCs w:val="21"/>
                <w:lang w:val="en-US" w:eastAsia="zh-CN"/>
              </w:rPr>
              <w:t>/kgBOD</w:t>
            </w:r>
          </w:p>
        </w:tc>
        <w:tc>
          <w:tcPr>
            <w:tcW w:w="267"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GWP</w:t>
            </w:r>
          </w:p>
        </w:tc>
        <w:tc>
          <w:tcPr>
            <w:tcW w:w="319" w:type="pct"/>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eastAsia"/>
                <w:sz w:val="21"/>
                <w:szCs w:val="21"/>
                <w:lang w:val="en-US" w:eastAsia="zh-CN"/>
              </w:rPr>
              <w:t>排放量</w:t>
            </w:r>
            <w:r>
              <w:rPr>
                <w:rFonts w:hint="default"/>
                <w:sz w:val="21"/>
                <w:szCs w:val="21"/>
                <w:lang w:val="en-US" w:eastAsia="zh-CN"/>
              </w:rPr>
              <w:t>tCO</w:t>
            </w:r>
            <w:r>
              <w:rPr>
                <w:sz w:val="21"/>
                <w:szCs w:val="21"/>
                <w:vertAlign w:val="subscript"/>
                <w:lang w:val="en-US" w:eastAsia="zh-CN"/>
              </w:rPr>
              <w:t>2</w:t>
            </w:r>
            <w:r>
              <w:rPr>
                <w:rFonts w:hint="default"/>
                <w:sz w:val="21"/>
                <w:szCs w:val="21"/>
                <w:lang w:val="en-US" w:eastAsia="zh-CN"/>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7"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376" w:type="pct"/>
            <w:vMerge w:val="continue"/>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sz w:val="21"/>
                <w:szCs w:val="21"/>
              </w:rPr>
            </w:pPr>
          </w:p>
        </w:tc>
        <w:tc>
          <w:tcPr>
            <w:tcW w:w="827"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eastAsia="宋体"/>
                <w:sz w:val="21"/>
                <w:szCs w:val="21"/>
                <w:lang w:val="en-US" w:eastAsia="zh-CN"/>
              </w:rPr>
            </w:pPr>
            <w:r>
              <w:rPr>
                <w:rFonts w:hint="eastAsia"/>
                <w:sz w:val="21"/>
                <w:szCs w:val="21"/>
                <w:lang w:val="en-US" w:eastAsia="zh-CN"/>
              </w:rPr>
              <w:t>26,264.67</w:t>
            </w:r>
          </w:p>
        </w:tc>
        <w:tc>
          <w:tcPr>
            <w:tcW w:w="712" w:type="pct"/>
            <w:gridSpan w:val="2"/>
            <w:tcBorders>
              <w:tl2br w:val="nil"/>
              <w:tr2bl w:val="nil"/>
            </w:tcBorders>
            <w:shd w:val="clear" w:color="auto" w:fill="auto"/>
            <w:noWrap/>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40</w:t>
            </w:r>
          </w:p>
        </w:tc>
        <w:tc>
          <w:tcPr>
            <w:tcW w:w="982" w:type="pct"/>
            <w:gridSpan w:val="3"/>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0.6</w:t>
            </w:r>
          </w:p>
        </w:tc>
        <w:tc>
          <w:tcPr>
            <w:tcW w:w="903" w:type="pct"/>
            <w:gridSpan w:val="4"/>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0.8</w:t>
            </w:r>
          </w:p>
        </w:tc>
        <w:tc>
          <w:tcPr>
            <w:tcW w:w="383"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0.48</w:t>
            </w:r>
          </w:p>
        </w:tc>
        <w:tc>
          <w:tcPr>
            <w:tcW w:w="267"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sz w:val="21"/>
                <w:szCs w:val="21"/>
              </w:rPr>
            </w:pPr>
            <w:r>
              <w:rPr>
                <w:rFonts w:hint="default"/>
                <w:sz w:val="21"/>
                <w:szCs w:val="21"/>
                <w:lang w:val="en-US" w:eastAsia="zh-CN"/>
              </w:rPr>
              <w:t>27.9</w:t>
            </w:r>
          </w:p>
        </w:tc>
        <w:tc>
          <w:tcPr>
            <w:tcW w:w="319"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sz w:val="21"/>
                <w:szCs w:val="21"/>
                <w:lang w:val="en-US"/>
              </w:rPr>
            </w:pPr>
            <w:r>
              <w:rPr>
                <w:rFonts w:hint="eastAsia" w:eastAsia="等线" w:cs="Times New Roman"/>
                <w:i w:val="0"/>
                <w:iCs w:val="0"/>
                <w:color w:val="000000"/>
                <w:kern w:val="0"/>
                <w:sz w:val="22"/>
                <w:szCs w:val="22"/>
                <w:u w:val="none"/>
                <w:lang w:val="en-US" w:eastAsia="zh-CN" w:bidi="ar"/>
              </w:rPr>
              <w:t>14.07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84" w:type="pct"/>
            <w:gridSpan w:val="16"/>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eastAsia"/>
                <w:b/>
                <w:bCs/>
                <w:sz w:val="21"/>
                <w:szCs w:val="21"/>
              </w:rPr>
            </w:pPr>
            <w:r>
              <w:rPr>
                <w:rFonts w:hint="eastAsia"/>
                <w:b/>
                <w:bCs/>
                <w:sz w:val="21"/>
                <w:szCs w:val="21"/>
                <w:lang w:val="en-US" w:eastAsia="zh-CN"/>
              </w:rPr>
              <w:t>直接排放温室气体排放小计</w:t>
            </w:r>
          </w:p>
        </w:tc>
        <w:tc>
          <w:tcPr>
            <w:tcW w:w="415" w:type="pct"/>
            <w:gridSpan w:val="2"/>
            <w:tcBorders>
              <w:tl2br w:val="nil"/>
              <w:tr2bl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line="240" w:lineRule="auto"/>
              <w:rPr>
                <w:rFonts w:hint="default"/>
                <w:b/>
                <w:bCs/>
                <w:sz w:val="21"/>
                <w:szCs w:val="21"/>
                <w:lang w:val="en-US"/>
              </w:rPr>
            </w:pPr>
            <w:r>
              <w:rPr>
                <w:rFonts w:hint="eastAsia"/>
                <w:b/>
                <w:bCs/>
                <w:sz w:val="21"/>
                <w:szCs w:val="21"/>
                <w:lang w:val="en-US" w:eastAsia="zh-CN"/>
              </w:rPr>
              <w:t>12,506.41</w:t>
            </w:r>
          </w:p>
        </w:tc>
      </w:tr>
    </w:tbl>
    <w:p>
      <w:pPr>
        <w:rPr>
          <w:rFonts w:hint="eastAsia"/>
        </w:rPr>
      </w:pPr>
    </w:p>
    <w:bookmarkEnd w:id="51"/>
    <w:bookmarkEnd w:id="52"/>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19"/>
        <w:gridCol w:w="2719"/>
        <w:gridCol w:w="2833"/>
        <w:gridCol w:w="3663"/>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5"/>
            <w:shd w:val="clear" w:color="auto" w:fill="auto"/>
            <w:vAlign w:val="center"/>
          </w:tcPr>
          <w:p>
            <w:pPr>
              <w:pStyle w:val="28"/>
              <w:bidi w:val="0"/>
              <w:rPr>
                <w:rFonts w:hint="eastAsia"/>
              </w:rPr>
            </w:pPr>
            <w:r>
              <w:rPr>
                <w:rFonts w:hint="eastAsia"/>
                <w:b/>
                <w:bCs/>
                <w:sz w:val="24"/>
                <w:szCs w:val="28"/>
                <w:lang w:val="en-US" w:eastAsia="zh-CN"/>
              </w:rPr>
              <w:t>类别</w:t>
            </w:r>
            <w:r>
              <w:rPr>
                <w:rFonts w:hint="default"/>
                <w:b/>
                <w:bCs/>
                <w:sz w:val="24"/>
                <w:szCs w:val="28"/>
                <w:lang w:val="en-US" w:eastAsia="zh-CN"/>
              </w:rPr>
              <w:t xml:space="preserve"> 2</w:t>
            </w:r>
            <w:r>
              <w:rPr>
                <w:rFonts w:hint="eastAsia"/>
                <w:b/>
                <w:bCs/>
                <w:sz w:val="24"/>
                <w:szCs w:val="28"/>
                <w:lang w:val="en-US" w:eastAsia="zh-CN"/>
              </w:rPr>
              <w:t>：能源间接温室气体排放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 w:type="pct"/>
            <w:shd w:val="clear" w:color="auto" w:fill="auto"/>
            <w:vAlign w:val="center"/>
          </w:tcPr>
          <w:p>
            <w:pPr>
              <w:pStyle w:val="28"/>
              <w:bidi w:val="0"/>
              <w:rPr>
                <w:rFonts w:hint="eastAsia"/>
                <w:b/>
                <w:bCs/>
              </w:rPr>
            </w:pPr>
            <w:r>
              <w:rPr>
                <w:rFonts w:hint="eastAsia"/>
                <w:b/>
                <w:bCs/>
                <w:lang w:val="en-US" w:eastAsia="zh-CN"/>
              </w:rPr>
              <w:t>排放源识别</w:t>
            </w:r>
          </w:p>
        </w:tc>
        <w:tc>
          <w:tcPr>
            <w:tcW w:w="956" w:type="pct"/>
            <w:shd w:val="clear" w:color="auto" w:fill="auto"/>
            <w:vAlign w:val="center"/>
          </w:tcPr>
          <w:p>
            <w:pPr>
              <w:pStyle w:val="28"/>
              <w:bidi w:val="0"/>
              <w:rPr>
                <w:rFonts w:hint="eastAsia"/>
                <w:b/>
                <w:bCs/>
              </w:rPr>
            </w:pPr>
            <w:r>
              <w:rPr>
                <w:rFonts w:hint="eastAsia"/>
                <w:b/>
                <w:bCs/>
                <w:lang w:val="en-US" w:eastAsia="zh-CN"/>
              </w:rPr>
              <w:t>排放源</w:t>
            </w:r>
          </w:p>
        </w:tc>
        <w:tc>
          <w:tcPr>
            <w:tcW w:w="996" w:type="pct"/>
            <w:shd w:val="clear" w:color="auto" w:fill="auto"/>
            <w:vAlign w:val="center"/>
          </w:tcPr>
          <w:p>
            <w:pPr>
              <w:pStyle w:val="28"/>
              <w:bidi w:val="0"/>
              <w:rPr>
                <w:rFonts w:hint="eastAsia"/>
                <w:b/>
                <w:bCs/>
              </w:rPr>
            </w:pPr>
            <w:r>
              <w:rPr>
                <w:rFonts w:hint="eastAsia"/>
                <w:b/>
                <w:bCs/>
                <w:lang w:val="en-US" w:eastAsia="zh-CN"/>
              </w:rPr>
              <w:t>活动数据（M</w:t>
            </w:r>
            <w:r>
              <w:rPr>
                <w:rFonts w:hint="default"/>
                <w:b/>
                <w:bCs/>
                <w:lang w:val="en-US" w:eastAsia="zh-CN"/>
              </w:rPr>
              <w:t>Wh</w:t>
            </w:r>
            <w:r>
              <w:rPr>
                <w:rFonts w:hint="eastAsia"/>
                <w:b/>
                <w:bCs/>
                <w:lang w:val="en-US" w:eastAsia="zh-CN"/>
              </w:rPr>
              <w:t>）</w:t>
            </w:r>
          </w:p>
        </w:tc>
        <w:tc>
          <w:tcPr>
            <w:tcW w:w="1286" w:type="pct"/>
            <w:shd w:val="clear" w:color="auto" w:fill="auto"/>
            <w:vAlign w:val="center"/>
          </w:tcPr>
          <w:p>
            <w:pPr>
              <w:pStyle w:val="28"/>
              <w:bidi w:val="0"/>
              <w:rPr>
                <w:rFonts w:hint="eastAsia"/>
                <w:b/>
                <w:bCs/>
              </w:rPr>
            </w:pPr>
            <w:r>
              <w:rPr>
                <w:rFonts w:hint="eastAsia"/>
                <w:b/>
                <w:bCs/>
                <w:lang w:val="en-US" w:eastAsia="zh-CN"/>
              </w:rPr>
              <w:t>排放因子（</w:t>
            </w:r>
            <w:r>
              <w:rPr>
                <w:rFonts w:hint="default"/>
                <w:b/>
                <w:bCs/>
                <w:lang w:val="en-US" w:eastAsia="zh-CN"/>
              </w:rPr>
              <w:t>kgCO</w:t>
            </w:r>
            <w:r>
              <w:rPr>
                <w:rFonts w:hint="default"/>
                <w:b/>
                <w:bCs/>
                <w:vertAlign w:val="subscript"/>
                <w:lang w:val="en-US" w:eastAsia="zh-CN"/>
              </w:rPr>
              <w:t>2</w:t>
            </w:r>
            <w:r>
              <w:rPr>
                <w:rFonts w:hint="default"/>
                <w:b/>
                <w:bCs/>
                <w:lang w:val="en-US" w:eastAsia="zh-CN"/>
              </w:rPr>
              <w:t>/kWh</w:t>
            </w:r>
            <w:r>
              <w:rPr>
                <w:rFonts w:hint="eastAsia"/>
                <w:b/>
                <w:bCs/>
                <w:lang w:val="en-US" w:eastAsia="zh-CN"/>
              </w:rPr>
              <w:t>）</w:t>
            </w:r>
          </w:p>
        </w:tc>
        <w:tc>
          <w:tcPr>
            <w:tcW w:w="873" w:type="pct"/>
            <w:shd w:val="clear" w:color="auto" w:fill="auto"/>
            <w:vAlign w:val="center"/>
          </w:tcPr>
          <w:p>
            <w:pPr>
              <w:pStyle w:val="28"/>
              <w:bidi w:val="0"/>
              <w:rPr>
                <w:rFonts w:hint="eastAsia"/>
                <w:b/>
                <w:bCs/>
              </w:rPr>
            </w:pPr>
            <w:r>
              <w:rPr>
                <w:rFonts w:hint="eastAsia"/>
                <w:b/>
                <w:bCs/>
                <w:lang w:val="en-US" w:eastAsia="zh-CN"/>
              </w:rPr>
              <w:t>温室气体排放当量（</w:t>
            </w:r>
            <w:r>
              <w:rPr>
                <w:rFonts w:hint="default"/>
                <w:b/>
                <w:bCs/>
                <w:lang w:val="en-US" w:eastAsia="zh-CN"/>
              </w:rPr>
              <w:t>tCO</w:t>
            </w:r>
            <w:r>
              <w:rPr>
                <w:rFonts w:hint="default"/>
                <w:b/>
                <w:bCs/>
                <w:vertAlign w:val="subscript"/>
                <w:lang w:val="en-US" w:eastAsia="zh-CN"/>
              </w:rPr>
              <w:t>2</w:t>
            </w:r>
            <w:r>
              <w:rPr>
                <w:rFonts w:hint="default"/>
                <w:b/>
                <w:bCs/>
                <w:lang w:val="en-US" w:eastAsia="zh-CN"/>
              </w:rPr>
              <w:t>e</w:t>
            </w:r>
            <w:r>
              <w:rPr>
                <w:rFonts w:hint="eastAsia"/>
                <w:b/>
                <w:bCs/>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6" w:type="pct"/>
            <w:shd w:val="clear" w:color="auto" w:fill="auto"/>
            <w:vAlign w:val="center"/>
          </w:tcPr>
          <w:p>
            <w:pPr>
              <w:pStyle w:val="28"/>
              <w:bidi w:val="0"/>
              <w:rPr>
                <w:rFonts w:hint="eastAsia"/>
              </w:rPr>
            </w:pPr>
            <w:r>
              <w:rPr>
                <w:rFonts w:hint="eastAsia"/>
                <w:lang w:val="en-US" w:eastAsia="zh-CN"/>
              </w:rPr>
              <w:t>外购电力</w:t>
            </w:r>
          </w:p>
        </w:tc>
        <w:tc>
          <w:tcPr>
            <w:tcW w:w="956" w:type="pct"/>
            <w:shd w:val="clear" w:color="auto" w:fill="auto"/>
            <w:vAlign w:val="center"/>
          </w:tcPr>
          <w:p>
            <w:pPr>
              <w:pStyle w:val="28"/>
              <w:bidi w:val="0"/>
              <w:rPr>
                <w:rFonts w:hint="eastAsia"/>
              </w:rPr>
            </w:pPr>
            <w:r>
              <w:rPr>
                <w:rFonts w:hint="eastAsia"/>
                <w:lang w:val="en-US" w:eastAsia="zh-CN"/>
              </w:rPr>
              <w:t>广东省</w:t>
            </w:r>
          </w:p>
        </w:tc>
        <w:tc>
          <w:tcPr>
            <w:tcW w:w="996" w:type="pct"/>
            <w:shd w:val="clear" w:color="auto" w:fill="auto"/>
            <w:vAlign w:val="center"/>
          </w:tcPr>
          <w:p>
            <w:pPr>
              <w:pStyle w:val="28"/>
              <w:bidi w:val="0"/>
              <w:rPr>
                <w:rFonts w:hint="default"/>
                <w:lang w:val="en-US"/>
              </w:rPr>
            </w:pPr>
            <w:r>
              <w:rPr>
                <w:rFonts w:hint="eastAsia"/>
                <w:lang w:val="en-US" w:eastAsia="zh-CN"/>
              </w:rPr>
              <w:t>3,759.24</w:t>
            </w:r>
          </w:p>
        </w:tc>
        <w:tc>
          <w:tcPr>
            <w:tcW w:w="1286" w:type="pct"/>
            <w:shd w:val="clear" w:color="auto" w:fill="auto"/>
            <w:vAlign w:val="center"/>
          </w:tcPr>
          <w:p>
            <w:pPr>
              <w:pStyle w:val="28"/>
              <w:bidi w:val="0"/>
              <w:rPr>
                <w:rFonts w:hint="default"/>
                <w:lang w:val="en-US"/>
              </w:rPr>
            </w:pPr>
            <w:r>
              <w:rPr>
                <w:rFonts w:hint="eastAsia"/>
                <w:lang w:val="en-US" w:eastAsia="zh-CN"/>
              </w:rPr>
              <w:t>0.4715</w:t>
            </w:r>
          </w:p>
        </w:tc>
        <w:tc>
          <w:tcPr>
            <w:tcW w:w="873" w:type="pct"/>
            <w:shd w:val="clear" w:color="auto" w:fill="auto"/>
            <w:vAlign w:val="center"/>
          </w:tcPr>
          <w:p>
            <w:pPr>
              <w:pStyle w:val="28"/>
              <w:bidi w:val="0"/>
              <w:rPr>
                <w:rFonts w:hint="default"/>
                <w:lang w:val="en-US"/>
              </w:rPr>
            </w:pPr>
            <w:r>
              <w:rPr>
                <w:rFonts w:hint="eastAsia"/>
                <w:lang w:val="en-US" w:eastAsia="zh-CN"/>
              </w:rPr>
              <w:t>1,772.48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6" w:type="pct"/>
            <w:gridSpan w:val="4"/>
            <w:shd w:val="clear" w:color="auto" w:fill="auto"/>
            <w:vAlign w:val="center"/>
          </w:tcPr>
          <w:p>
            <w:pPr>
              <w:pStyle w:val="28"/>
              <w:bidi w:val="0"/>
              <w:rPr>
                <w:rFonts w:hint="eastAsia"/>
                <w:b/>
                <w:bCs/>
              </w:rPr>
            </w:pPr>
            <w:r>
              <w:rPr>
                <w:rFonts w:hint="eastAsia"/>
                <w:b/>
                <w:bCs/>
                <w:lang w:val="en-US" w:eastAsia="zh-CN"/>
              </w:rPr>
              <w:t>能源间接温室气体排放小计</w:t>
            </w:r>
          </w:p>
        </w:tc>
        <w:tc>
          <w:tcPr>
            <w:tcW w:w="873" w:type="pct"/>
            <w:shd w:val="clear" w:color="auto" w:fill="auto"/>
            <w:vAlign w:val="center"/>
          </w:tcPr>
          <w:p>
            <w:pPr>
              <w:pStyle w:val="28"/>
              <w:bidi w:val="0"/>
              <w:rPr>
                <w:rFonts w:hint="default"/>
                <w:b/>
                <w:bCs/>
                <w:lang w:val="en-US"/>
              </w:rPr>
            </w:pPr>
            <w:r>
              <w:rPr>
                <w:rFonts w:hint="eastAsia"/>
                <w:b/>
                <w:bCs/>
                <w:lang w:val="en-US" w:eastAsia="zh-CN"/>
              </w:rPr>
              <w:t>1,772.48</w:t>
            </w:r>
          </w:p>
        </w:tc>
      </w:tr>
    </w:tbl>
    <w:p>
      <w:pPr>
        <w:ind w:firstLine="480"/>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914"/>
        <w:gridCol w:w="3291"/>
        <w:gridCol w:w="2560"/>
        <w:gridCol w:w="3509"/>
        <w:gridCol w:w="2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5"/>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类别</w:t>
            </w:r>
            <w:r>
              <w:rPr>
                <w:rFonts w:hint="default" w:ascii="Times New Roman" w:hAnsi="Times New Roman" w:eastAsia="宋体" w:cs="Times New Roman"/>
                <w:b/>
                <w:bCs/>
                <w:i w:val="0"/>
                <w:iCs w:val="0"/>
                <w:color w:val="000000"/>
                <w:kern w:val="0"/>
                <w:sz w:val="24"/>
                <w:szCs w:val="24"/>
                <w:u w:val="none"/>
                <w:lang w:val="en-US" w:eastAsia="zh-CN" w:bidi="ar"/>
              </w:rPr>
              <w:t xml:space="preserve"> 3</w:t>
            </w:r>
            <w:r>
              <w:rPr>
                <w:rFonts w:hint="eastAsia" w:ascii="宋体" w:hAnsi="宋体" w:eastAsia="宋体" w:cs="宋体"/>
                <w:b/>
                <w:bCs/>
                <w:i w:val="0"/>
                <w:iCs w:val="0"/>
                <w:color w:val="000000"/>
                <w:kern w:val="0"/>
                <w:sz w:val="24"/>
                <w:szCs w:val="24"/>
                <w:u w:val="none"/>
                <w:lang w:val="en-US" w:eastAsia="zh-CN" w:bidi="ar"/>
              </w:rPr>
              <w:t>：运输间接温室气体排放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shd w:val="clear" w:color="auto" w:fill="auto"/>
            <w:vAlign w:val="center"/>
          </w:tcPr>
          <w:p>
            <w:pPr>
              <w:pStyle w:val="28"/>
              <w:bidi w:val="0"/>
              <w:rPr>
                <w:rFonts w:hint="eastAsia"/>
                <w:b/>
                <w:bCs/>
                <w:sz w:val="21"/>
                <w:szCs w:val="21"/>
              </w:rPr>
            </w:pPr>
            <w:r>
              <w:rPr>
                <w:rFonts w:hint="eastAsia"/>
                <w:b/>
                <w:bCs/>
                <w:sz w:val="21"/>
                <w:szCs w:val="21"/>
                <w:lang w:val="en-US" w:eastAsia="zh-CN"/>
              </w:rPr>
              <w:t>排放源识别</w:t>
            </w:r>
          </w:p>
        </w:tc>
        <w:tc>
          <w:tcPr>
            <w:tcW w:w="1157" w:type="pct"/>
            <w:shd w:val="clear" w:color="auto" w:fill="auto"/>
            <w:vAlign w:val="center"/>
          </w:tcPr>
          <w:p>
            <w:pPr>
              <w:pStyle w:val="28"/>
              <w:bidi w:val="0"/>
              <w:rPr>
                <w:rFonts w:hint="eastAsia"/>
                <w:b/>
                <w:bCs/>
                <w:sz w:val="21"/>
                <w:szCs w:val="21"/>
              </w:rPr>
            </w:pPr>
            <w:r>
              <w:rPr>
                <w:rFonts w:hint="eastAsia"/>
                <w:b/>
                <w:bCs/>
                <w:sz w:val="21"/>
                <w:szCs w:val="21"/>
                <w:lang w:val="en-US" w:eastAsia="zh-CN"/>
              </w:rPr>
              <w:t>排放源</w:t>
            </w:r>
          </w:p>
        </w:tc>
        <w:tc>
          <w:tcPr>
            <w:tcW w:w="900" w:type="pct"/>
            <w:shd w:val="clear" w:color="auto" w:fill="auto"/>
            <w:vAlign w:val="center"/>
          </w:tcPr>
          <w:p>
            <w:pPr>
              <w:pStyle w:val="28"/>
              <w:bidi w:val="0"/>
              <w:rPr>
                <w:rFonts w:hint="eastAsia"/>
                <w:b/>
                <w:bCs/>
                <w:sz w:val="21"/>
                <w:szCs w:val="21"/>
              </w:rPr>
            </w:pPr>
            <w:r>
              <w:rPr>
                <w:rFonts w:hint="eastAsia"/>
                <w:b/>
                <w:bCs/>
                <w:sz w:val="21"/>
                <w:szCs w:val="21"/>
                <w:lang w:val="en-US" w:eastAsia="zh-CN"/>
              </w:rPr>
              <w:t>活动数据</w:t>
            </w:r>
          </w:p>
        </w:tc>
        <w:tc>
          <w:tcPr>
            <w:tcW w:w="1233" w:type="pct"/>
            <w:shd w:val="clear" w:color="auto" w:fill="auto"/>
            <w:vAlign w:val="center"/>
          </w:tcPr>
          <w:p>
            <w:pPr>
              <w:pStyle w:val="28"/>
              <w:bidi w:val="0"/>
              <w:rPr>
                <w:rFonts w:hint="eastAsia"/>
                <w:b/>
                <w:bCs/>
                <w:sz w:val="21"/>
                <w:szCs w:val="21"/>
              </w:rPr>
            </w:pPr>
            <w:r>
              <w:rPr>
                <w:rFonts w:hint="eastAsia"/>
                <w:b/>
                <w:bCs/>
                <w:sz w:val="21"/>
                <w:szCs w:val="21"/>
                <w:lang w:val="en-US" w:eastAsia="zh-CN"/>
              </w:rPr>
              <w:t>排放因子</w:t>
            </w:r>
          </w:p>
        </w:tc>
        <w:tc>
          <w:tcPr>
            <w:tcW w:w="1035" w:type="pct"/>
            <w:shd w:val="clear" w:color="auto" w:fill="auto"/>
            <w:vAlign w:val="center"/>
          </w:tcPr>
          <w:p>
            <w:pPr>
              <w:pStyle w:val="28"/>
              <w:bidi w:val="0"/>
              <w:rPr>
                <w:rFonts w:hint="eastAsia"/>
                <w:b/>
                <w:bCs/>
                <w:sz w:val="21"/>
                <w:szCs w:val="21"/>
              </w:rPr>
            </w:pPr>
            <w:r>
              <w:rPr>
                <w:rFonts w:hint="eastAsia"/>
                <w:b/>
                <w:bCs/>
                <w:sz w:val="21"/>
                <w:szCs w:val="21"/>
                <w:lang w:val="en-US" w:eastAsia="zh-CN"/>
              </w:rPr>
              <w:t>温室气体排放当量（</w:t>
            </w:r>
            <w:r>
              <w:rPr>
                <w:rFonts w:hint="default"/>
                <w:b/>
                <w:bCs/>
                <w:sz w:val="21"/>
                <w:szCs w:val="21"/>
                <w:lang w:val="en-US" w:eastAsia="zh-CN"/>
              </w:rPr>
              <w:t>tCO</w:t>
            </w:r>
            <w:r>
              <w:rPr>
                <w:rFonts w:hint="default"/>
                <w:b/>
                <w:bCs/>
                <w:sz w:val="21"/>
                <w:szCs w:val="21"/>
                <w:vertAlign w:val="subscript"/>
                <w:lang w:val="en-US" w:eastAsia="zh-CN"/>
              </w:rPr>
              <w:t>2</w:t>
            </w:r>
            <w:r>
              <w:rPr>
                <w:rFonts w:hint="default"/>
                <w:b/>
                <w:bCs/>
                <w:sz w:val="21"/>
                <w:szCs w:val="21"/>
                <w:lang w:val="en-US" w:eastAsia="zh-CN"/>
              </w:rPr>
              <w:t>e</w:t>
            </w:r>
            <w:r>
              <w:rPr>
                <w:rFonts w:hint="eastAsia"/>
                <w:b/>
                <w:bCs/>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restart"/>
            <w:shd w:val="clear" w:color="auto" w:fill="auto"/>
            <w:vAlign w:val="center"/>
          </w:tcPr>
          <w:p>
            <w:pPr>
              <w:pStyle w:val="28"/>
              <w:bidi w:val="0"/>
              <w:rPr>
                <w:rFonts w:hint="eastAsia"/>
                <w:sz w:val="21"/>
                <w:szCs w:val="21"/>
              </w:rPr>
            </w:pPr>
            <w:r>
              <w:rPr>
                <w:rFonts w:hint="eastAsia"/>
                <w:sz w:val="21"/>
                <w:szCs w:val="21"/>
                <w:lang w:val="en-US" w:eastAsia="zh-CN"/>
              </w:rPr>
              <w:t>原材料运输</w:t>
            </w: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重型货车（t•km）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kern w:val="0"/>
                <w:sz w:val="21"/>
                <w:szCs w:val="21"/>
                <w:lang w:val="en-US" w:eastAsia="zh-CN"/>
              </w:rPr>
            </w:pPr>
            <w:r>
              <w:rPr>
                <w:rFonts w:hint="default" w:ascii="Times New Roman" w:hAnsi="Times New Roman" w:eastAsia="等线" w:cs="Times New Roman"/>
                <w:i w:val="0"/>
                <w:iCs w:val="0"/>
                <w:color w:val="000000"/>
                <w:kern w:val="0"/>
                <w:sz w:val="22"/>
                <w:szCs w:val="22"/>
                <w:u w:val="none"/>
                <w:lang w:val="en-US" w:eastAsia="zh-CN" w:bidi="ar"/>
              </w:rPr>
              <w:t>14,337,127.36</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0.049</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kern w:val="0"/>
                <w:sz w:val="21"/>
                <w:szCs w:val="21"/>
                <w:u w:val="none"/>
                <w:lang w:val="en-US" w:eastAsia="zh-CN"/>
              </w:rPr>
            </w:pPr>
            <w:r>
              <w:rPr>
                <w:rFonts w:hint="default" w:ascii="Times New Roman" w:hAnsi="Times New Roman" w:eastAsia="等线" w:cs="Times New Roman"/>
                <w:i w:val="0"/>
                <w:iCs w:val="0"/>
                <w:color w:val="000000"/>
                <w:kern w:val="0"/>
                <w:sz w:val="22"/>
                <w:szCs w:val="22"/>
                <w:u w:val="none"/>
                <w:lang w:val="en-US" w:eastAsia="zh-CN" w:bidi="ar"/>
              </w:rPr>
              <w:t>702.52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continue"/>
            <w:shd w:val="clear" w:color="auto" w:fill="auto"/>
            <w:vAlign w:val="center"/>
          </w:tcPr>
          <w:p>
            <w:pPr>
              <w:pStyle w:val="28"/>
              <w:bidi w:val="0"/>
              <w:rPr>
                <w:rFonts w:hint="eastAsia"/>
                <w:sz w:val="21"/>
                <w:szCs w:val="21"/>
                <w:lang w:val="en-US" w:eastAsia="zh-CN"/>
              </w:rPr>
            </w:pPr>
          </w:p>
        </w:tc>
        <w:tc>
          <w:tcPr>
            <w:tcW w:w="1157" w:type="pct"/>
            <w:shd w:val="clear" w:color="auto" w:fill="auto"/>
            <w:vAlign w:val="center"/>
          </w:tcPr>
          <w:p>
            <w:pPr>
              <w:pStyle w:val="28"/>
              <w:bidi w:val="0"/>
              <w:ind w:firstLine="0" w:firstLineChars="0"/>
              <w:rPr>
                <w:rFonts w:hint="eastAsia" w:ascii="Times New Roman" w:hAnsi="Times New Roman" w:eastAsia="宋体" w:cstheme="minorBidi"/>
                <w:kern w:val="0"/>
                <w:sz w:val="21"/>
                <w:szCs w:val="21"/>
                <w:lang w:val="en-US" w:eastAsia="zh-CN" w:bidi="ar-SA"/>
              </w:rPr>
            </w:pPr>
            <w:r>
              <w:rPr>
                <w:rFonts w:hint="eastAsia"/>
                <w:sz w:val="21"/>
                <w:szCs w:val="21"/>
                <w:lang w:val="en-US" w:eastAsia="zh-CN"/>
              </w:rPr>
              <w:t>中型货车（t•km）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300,841.85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0.041</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continue"/>
            <w:shd w:val="clear" w:color="auto" w:fill="auto"/>
            <w:vAlign w:val="center"/>
          </w:tcPr>
          <w:p>
            <w:pPr>
              <w:pStyle w:val="28"/>
              <w:bidi w:val="0"/>
              <w:rPr>
                <w:rFonts w:hint="eastAsia"/>
                <w:sz w:val="21"/>
                <w:szCs w:val="21"/>
              </w:rPr>
            </w:pP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海运（t•km）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1,942,183.20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0.01</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19.42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67" w:hRule="atLeast"/>
          <w:jc w:val="center"/>
        </w:trPr>
        <w:tc>
          <w:tcPr>
            <w:tcW w:w="673" w:type="pct"/>
            <w:shd w:val="clear" w:color="auto" w:fill="auto"/>
            <w:vAlign w:val="center"/>
          </w:tcPr>
          <w:p>
            <w:pPr>
              <w:pStyle w:val="28"/>
              <w:bidi w:val="0"/>
              <w:rPr>
                <w:rFonts w:hint="eastAsia"/>
                <w:sz w:val="21"/>
                <w:szCs w:val="21"/>
              </w:rPr>
            </w:pPr>
            <w:r>
              <w:rPr>
                <w:rFonts w:hint="eastAsia"/>
                <w:sz w:val="21"/>
                <w:szCs w:val="21"/>
                <w:lang w:val="en-US" w:eastAsia="zh-CN"/>
              </w:rPr>
              <w:t>废弃物运输</w:t>
            </w: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重型货车（t•km）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2,582,401.80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0.049</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126.54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shd w:val="clear" w:color="auto" w:fill="auto"/>
            <w:vAlign w:val="center"/>
          </w:tcPr>
          <w:p>
            <w:pPr>
              <w:pStyle w:val="28"/>
              <w:bidi w:val="0"/>
              <w:rPr>
                <w:rFonts w:hint="eastAsia"/>
                <w:sz w:val="21"/>
                <w:szCs w:val="21"/>
              </w:rPr>
            </w:pPr>
            <w:r>
              <w:rPr>
                <w:rFonts w:hint="eastAsia"/>
                <w:sz w:val="21"/>
                <w:szCs w:val="21"/>
                <w:lang w:val="en-US" w:eastAsia="zh-CN"/>
              </w:rPr>
              <w:t>产品运输</w:t>
            </w: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重型货车（t•km）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12,507,080.42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0.049</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612.85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restart"/>
            <w:shd w:val="clear" w:color="auto" w:fill="auto"/>
            <w:vAlign w:val="center"/>
          </w:tcPr>
          <w:p>
            <w:pPr>
              <w:pStyle w:val="28"/>
              <w:bidi w:val="0"/>
              <w:rPr>
                <w:rFonts w:hint="eastAsia"/>
                <w:sz w:val="21"/>
                <w:szCs w:val="21"/>
              </w:rPr>
            </w:pPr>
            <w:r>
              <w:rPr>
                <w:rFonts w:hint="eastAsia"/>
                <w:sz w:val="21"/>
                <w:szCs w:val="21"/>
                <w:lang w:val="en-US" w:eastAsia="zh-CN"/>
              </w:rPr>
              <w:t>员工通勤</w:t>
            </w: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汽车（人•km）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164,468.05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0.041</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continue"/>
            <w:shd w:val="clear" w:color="auto" w:fill="auto"/>
            <w:vAlign w:val="center"/>
          </w:tcPr>
          <w:p>
            <w:pPr>
              <w:pStyle w:val="28"/>
              <w:bidi w:val="0"/>
              <w:rPr>
                <w:rFonts w:hint="eastAsia"/>
                <w:sz w:val="21"/>
                <w:szCs w:val="21"/>
                <w:lang w:val="en-US" w:eastAsia="zh-CN"/>
              </w:rPr>
            </w:pPr>
          </w:p>
        </w:tc>
        <w:tc>
          <w:tcPr>
            <w:tcW w:w="1157" w:type="pct"/>
            <w:shd w:val="clear" w:color="auto" w:fill="auto"/>
            <w:vAlign w:val="center"/>
          </w:tcPr>
          <w:p>
            <w:pPr>
              <w:pStyle w:val="28"/>
              <w:bidi w:val="0"/>
              <w:ind w:firstLine="0" w:firstLineChars="0"/>
              <w:rPr>
                <w:rFonts w:hint="eastAsia" w:ascii="Times New Roman" w:hAnsi="Times New Roman" w:eastAsia="宋体" w:cstheme="minorBidi"/>
                <w:kern w:val="0"/>
                <w:sz w:val="21"/>
                <w:szCs w:val="21"/>
                <w:lang w:val="en-US" w:eastAsia="zh-CN" w:bidi="ar-SA"/>
              </w:rPr>
            </w:pPr>
            <w:r>
              <w:rPr>
                <w:rFonts w:hint="eastAsia"/>
                <w:sz w:val="21"/>
                <w:szCs w:val="21"/>
                <w:lang w:val="en-US" w:eastAsia="zh-CN"/>
              </w:rPr>
              <w:t>新能源汽车（人•km）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14,224.00 </w:t>
            </w:r>
          </w:p>
        </w:tc>
        <w:tc>
          <w:tcPr>
            <w:tcW w:w="1233" w:type="pct"/>
            <w:shd w:val="clear" w:color="auto" w:fill="auto"/>
            <w:vAlign w:val="center"/>
          </w:tcPr>
          <w:p>
            <w:pPr>
              <w:pStyle w:val="28"/>
              <w:bidi w:val="0"/>
              <w:ind w:firstLine="0" w:firstLineChars="0"/>
              <w:rPr>
                <w:rFonts w:hint="default" w:ascii="Times New Roman" w:hAnsi="Times New Roman" w:eastAsia="宋体" w:cstheme="minorBidi"/>
                <w:kern w:val="0"/>
                <w:sz w:val="21"/>
                <w:szCs w:val="21"/>
                <w:lang w:val="en-US" w:eastAsia="zh-CN" w:bidi="ar-SA"/>
              </w:rPr>
            </w:pPr>
            <w:r>
              <w:rPr>
                <w:rFonts w:hint="default"/>
                <w:sz w:val="21"/>
                <w:szCs w:val="21"/>
                <w:lang w:val="en-US" w:eastAsia="zh-CN"/>
              </w:rPr>
              <w:t>0.0</w:t>
            </w:r>
            <w:r>
              <w:rPr>
                <w:rFonts w:hint="eastAsia"/>
                <w:sz w:val="21"/>
                <w:szCs w:val="21"/>
                <w:lang w:val="en-US" w:eastAsia="zh-CN"/>
              </w:rPr>
              <w:t>17</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continue"/>
            <w:shd w:val="clear" w:color="auto" w:fill="auto"/>
            <w:vAlign w:val="center"/>
          </w:tcPr>
          <w:p>
            <w:pPr>
              <w:pStyle w:val="28"/>
              <w:bidi w:val="0"/>
              <w:rPr>
                <w:rFonts w:hint="eastAsia"/>
                <w:sz w:val="21"/>
                <w:szCs w:val="21"/>
              </w:rPr>
            </w:pP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摩托车（人•km）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29,260.80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 xml:space="preserve">0.062 </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continue"/>
            <w:shd w:val="clear" w:color="auto" w:fill="auto"/>
            <w:vAlign w:val="center"/>
          </w:tcPr>
          <w:p>
            <w:pPr>
              <w:pStyle w:val="28"/>
              <w:bidi w:val="0"/>
              <w:rPr>
                <w:rFonts w:hint="eastAsia"/>
                <w:sz w:val="21"/>
                <w:szCs w:val="21"/>
              </w:rPr>
            </w:pP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电动公交车（人•km）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225,840.00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 xml:space="preserve">0.009 </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1.99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673" w:type="pct"/>
            <w:vMerge w:val="restart"/>
            <w:shd w:val="clear" w:color="auto" w:fill="auto"/>
            <w:vAlign w:val="center"/>
          </w:tcPr>
          <w:p>
            <w:pPr>
              <w:pStyle w:val="28"/>
              <w:bidi w:val="0"/>
              <w:rPr>
                <w:rFonts w:hint="eastAsia"/>
                <w:sz w:val="21"/>
                <w:szCs w:val="21"/>
              </w:rPr>
            </w:pPr>
            <w:r>
              <w:rPr>
                <w:rFonts w:hint="eastAsia"/>
                <w:sz w:val="21"/>
                <w:szCs w:val="21"/>
                <w:lang w:val="en-US" w:eastAsia="zh-CN"/>
              </w:rPr>
              <w:t>员工差旅</w:t>
            </w: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汽车（人•km）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159,347.00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0.041</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6.53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567" w:hRule="atLeast"/>
          <w:jc w:val="center"/>
        </w:trPr>
        <w:tc>
          <w:tcPr>
            <w:tcW w:w="673" w:type="pct"/>
            <w:vMerge w:val="continue"/>
            <w:shd w:val="clear" w:color="auto" w:fill="auto"/>
            <w:vAlign w:val="center"/>
          </w:tcPr>
          <w:p>
            <w:pPr>
              <w:pStyle w:val="28"/>
              <w:bidi w:val="0"/>
              <w:rPr>
                <w:rFonts w:hint="eastAsia"/>
                <w:sz w:val="21"/>
                <w:szCs w:val="21"/>
              </w:rPr>
            </w:pPr>
          </w:p>
        </w:tc>
        <w:tc>
          <w:tcPr>
            <w:tcW w:w="1157" w:type="pct"/>
            <w:shd w:val="clear" w:color="auto" w:fill="auto"/>
            <w:vAlign w:val="center"/>
          </w:tcPr>
          <w:p>
            <w:pPr>
              <w:pStyle w:val="28"/>
              <w:bidi w:val="0"/>
              <w:rPr>
                <w:rFonts w:hint="eastAsia"/>
                <w:sz w:val="21"/>
                <w:szCs w:val="21"/>
              </w:rPr>
            </w:pPr>
            <w:r>
              <w:rPr>
                <w:rFonts w:hint="eastAsia"/>
                <w:sz w:val="21"/>
                <w:szCs w:val="21"/>
                <w:lang w:val="en-US" w:eastAsia="zh-CN"/>
              </w:rPr>
              <w:t>飞机（人•km）</w:t>
            </w:r>
          </w:p>
        </w:tc>
        <w:tc>
          <w:tcPr>
            <w:tcW w:w="2560"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116,427.00 </w:t>
            </w:r>
          </w:p>
        </w:tc>
        <w:tc>
          <w:tcPr>
            <w:tcW w:w="1233" w:type="pct"/>
            <w:shd w:val="clear" w:color="auto" w:fill="auto"/>
            <w:vAlign w:val="center"/>
          </w:tcPr>
          <w:p>
            <w:pPr>
              <w:pStyle w:val="28"/>
              <w:bidi w:val="0"/>
              <w:rPr>
                <w:rFonts w:hint="default"/>
                <w:sz w:val="21"/>
                <w:szCs w:val="21"/>
                <w:lang w:val="en-US" w:eastAsia="zh-CN"/>
              </w:rPr>
            </w:pPr>
            <w:r>
              <w:rPr>
                <w:rFonts w:hint="default"/>
                <w:sz w:val="21"/>
                <w:szCs w:val="21"/>
                <w:lang w:val="en-US" w:eastAsia="zh-CN"/>
              </w:rPr>
              <w:t>0.088</w:t>
            </w:r>
          </w:p>
        </w:tc>
        <w:tc>
          <w:tcPr>
            <w:tcW w:w="2946" w:type="dxa"/>
            <w:shd w:val="clear" w:color="auto" w:fill="auto"/>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i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10.25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3964" w:type="pct"/>
            <w:gridSpan w:val="4"/>
            <w:shd w:val="clear" w:color="auto" w:fill="auto"/>
            <w:noWrap/>
            <w:vAlign w:val="center"/>
          </w:tcPr>
          <w:p>
            <w:pPr>
              <w:pStyle w:val="28"/>
              <w:bidi w:val="0"/>
              <w:rPr>
                <w:rFonts w:hint="eastAsia"/>
                <w:b/>
                <w:bCs/>
                <w:sz w:val="21"/>
                <w:szCs w:val="21"/>
              </w:rPr>
            </w:pPr>
            <w:r>
              <w:rPr>
                <w:rFonts w:hint="eastAsia"/>
                <w:b/>
                <w:bCs/>
                <w:sz w:val="21"/>
                <w:szCs w:val="21"/>
                <w:lang w:val="en-US" w:eastAsia="zh-CN"/>
              </w:rPr>
              <w:t>运输间接温室气体排放小计</w:t>
            </w:r>
          </w:p>
        </w:tc>
        <w:tc>
          <w:tcPr>
            <w:tcW w:w="1035" w:type="pct"/>
            <w:shd w:val="clear" w:color="auto" w:fill="auto"/>
            <w:vAlign w:val="center"/>
          </w:tcPr>
          <w:p>
            <w:pPr>
              <w:keepNext w:val="0"/>
              <w:keepLines w:val="0"/>
              <w:widowControl/>
              <w:suppressLineNumbers w:val="0"/>
              <w:ind w:firstLine="0" w:firstLineChars="0"/>
              <w:jc w:val="center"/>
              <w:textAlignment w:val="center"/>
              <w:rPr>
                <w:rFonts w:hint="default"/>
                <w:b/>
                <w:bCs/>
                <w:sz w:val="21"/>
                <w:szCs w:val="21"/>
                <w:lang w:val="en-US"/>
              </w:rPr>
            </w:pPr>
            <w:r>
              <w:rPr>
                <w:rFonts w:hint="eastAsia" w:eastAsia="等线" w:cs="Times New Roman"/>
                <w:b/>
                <w:bCs/>
                <w:i w:val="0"/>
                <w:iCs w:val="0"/>
                <w:color w:val="000000"/>
                <w:kern w:val="0"/>
                <w:sz w:val="22"/>
                <w:szCs w:val="22"/>
                <w:u w:val="none"/>
                <w:lang w:val="en-US" w:eastAsia="zh-CN" w:bidi="ar"/>
              </w:rPr>
              <w:t>1,501.23</w:t>
            </w:r>
          </w:p>
        </w:tc>
      </w:tr>
    </w:tbl>
    <w:p>
      <w:pPr>
        <w:ind w:firstLine="480"/>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56"/>
        <w:gridCol w:w="2338"/>
        <w:gridCol w:w="1940"/>
        <w:gridCol w:w="970"/>
        <w:gridCol w:w="1613"/>
        <w:gridCol w:w="1487"/>
        <w:gridCol w:w="1664"/>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8"/>
            <w:tcBorders>
              <w:tl2br w:val="nil"/>
              <w:tr2bl w:val="nil"/>
            </w:tcBorders>
            <w:shd w:val="clear" w:color="auto" w:fill="auto"/>
            <w:noWrap/>
            <w:vAlign w:val="center"/>
          </w:tcPr>
          <w:p>
            <w:pPr>
              <w:pStyle w:val="28"/>
              <w:bidi w:val="0"/>
              <w:rPr>
                <w:rFonts w:hint="eastAsia"/>
                <w:b/>
                <w:bCs/>
                <w:sz w:val="24"/>
                <w:szCs w:val="28"/>
                <w:lang w:val="en-US" w:eastAsia="zh-CN"/>
              </w:rPr>
            </w:pPr>
            <w:r>
              <w:rPr>
                <w:rFonts w:hint="eastAsia"/>
                <w:b/>
                <w:bCs/>
                <w:sz w:val="24"/>
                <w:szCs w:val="28"/>
                <w:lang w:val="en-US" w:eastAsia="zh-CN"/>
              </w:rPr>
              <w:t>类别4：组织使用产品的间接温室气体排放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restart"/>
            <w:tcBorders>
              <w:tl2br w:val="nil"/>
              <w:tr2bl w:val="nil"/>
            </w:tcBorders>
            <w:shd w:val="clear" w:color="auto" w:fill="auto"/>
            <w:vAlign w:val="center"/>
          </w:tcPr>
          <w:p>
            <w:pPr>
              <w:pStyle w:val="28"/>
              <w:bidi w:val="0"/>
              <w:rPr>
                <w:rFonts w:hint="eastAsia"/>
                <w:b/>
                <w:bCs/>
              </w:rPr>
            </w:pPr>
            <w:r>
              <w:rPr>
                <w:rFonts w:hint="eastAsia"/>
                <w:b/>
                <w:bCs/>
                <w:lang w:val="en-US" w:eastAsia="zh-CN"/>
              </w:rPr>
              <w:t>排放源识别</w:t>
            </w:r>
          </w:p>
        </w:tc>
        <w:tc>
          <w:tcPr>
            <w:tcW w:w="822" w:type="pct"/>
            <w:vMerge w:val="restart"/>
            <w:tcBorders>
              <w:tl2br w:val="nil"/>
              <w:tr2bl w:val="nil"/>
            </w:tcBorders>
            <w:shd w:val="clear" w:color="auto" w:fill="auto"/>
            <w:vAlign w:val="center"/>
          </w:tcPr>
          <w:p>
            <w:pPr>
              <w:pStyle w:val="28"/>
              <w:bidi w:val="0"/>
              <w:rPr>
                <w:rFonts w:hint="eastAsia"/>
                <w:b/>
                <w:bCs/>
              </w:rPr>
            </w:pPr>
            <w:r>
              <w:rPr>
                <w:rFonts w:hint="eastAsia"/>
                <w:b/>
                <w:bCs/>
                <w:lang w:val="en-US" w:eastAsia="zh-CN"/>
              </w:rPr>
              <w:t>排放源</w:t>
            </w:r>
          </w:p>
        </w:tc>
        <w:tc>
          <w:tcPr>
            <w:tcW w:w="682" w:type="pct"/>
            <w:vMerge w:val="restart"/>
            <w:tcBorders>
              <w:tl2br w:val="nil"/>
              <w:tr2bl w:val="nil"/>
            </w:tcBorders>
            <w:shd w:val="clear" w:color="auto" w:fill="auto"/>
            <w:vAlign w:val="center"/>
          </w:tcPr>
          <w:p>
            <w:pPr>
              <w:pStyle w:val="28"/>
              <w:bidi w:val="0"/>
              <w:rPr>
                <w:rFonts w:hint="eastAsia"/>
                <w:b/>
                <w:bCs/>
              </w:rPr>
            </w:pPr>
            <w:r>
              <w:rPr>
                <w:rFonts w:hint="eastAsia"/>
                <w:b/>
                <w:bCs/>
                <w:lang w:val="en-US" w:eastAsia="zh-CN"/>
              </w:rPr>
              <w:t>活动数据</w:t>
            </w:r>
          </w:p>
        </w:tc>
        <w:tc>
          <w:tcPr>
            <w:tcW w:w="341" w:type="pct"/>
            <w:vMerge w:val="restart"/>
            <w:tcBorders>
              <w:tl2br w:val="nil"/>
              <w:tr2bl w:val="nil"/>
            </w:tcBorders>
            <w:shd w:val="clear" w:color="auto" w:fill="auto"/>
            <w:vAlign w:val="center"/>
          </w:tcPr>
          <w:p>
            <w:pPr>
              <w:pStyle w:val="28"/>
              <w:bidi w:val="0"/>
              <w:rPr>
                <w:rFonts w:hint="eastAsia"/>
                <w:b/>
                <w:bCs/>
              </w:rPr>
            </w:pPr>
            <w:r>
              <w:rPr>
                <w:rFonts w:hint="eastAsia"/>
                <w:b/>
                <w:bCs/>
                <w:lang w:val="en-US" w:eastAsia="zh-CN"/>
              </w:rPr>
              <w:t>单位</w:t>
            </w:r>
          </w:p>
        </w:tc>
        <w:tc>
          <w:tcPr>
            <w:tcW w:w="1674" w:type="pct"/>
            <w:gridSpan w:val="3"/>
            <w:tcBorders>
              <w:tl2br w:val="nil"/>
              <w:tr2bl w:val="nil"/>
            </w:tcBorders>
            <w:shd w:val="clear" w:color="auto" w:fill="auto"/>
            <w:vAlign w:val="center"/>
          </w:tcPr>
          <w:p>
            <w:pPr>
              <w:pStyle w:val="28"/>
              <w:bidi w:val="0"/>
              <w:rPr>
                <w:rFonts w:hint="default"/>
                <w:b/>
                <w:bCs/>
                <w:lang w:val="en-US" w:eastAsia="zh-CN"/>
              </w:rPr>
            </w:pPr>
            <w:r>
              <w:rPr>
                <w:rFonts w:hint="default"/>
                <w:b/>
                <w:bCs/>
                <w:lang w:val="en-US" w:eastAsia="zh-CN"/>
              </w:rPr>
              <w:t>CO</w:t>
            </w:r>
            <w:r>
              <w:rPr>
                <w:rFonts w:hint="default"/>
                <w:b/>
                <w:bCs/>
                <w:vertAlign w:val="subscript"/>
                <w:lang w:val="en-US" w:eastAsia="zh-CN"/>
              </w:rPr>
              <w:t>2</w:t>
            </w:r>
          </w:p>
        </w:tc>
        <w:tc>
          <w:tcPr>
            <w:tcW w:w="580" w:type="pct"/>
            <w:tcBorders>
              <w:tl2br w:val="nil"/>
              <w:tr2bl w:val="nil"/>
            </w:tcBorders>
            <w:shd w:val="clear" w:color="auto" w:fill="auto"/>
            <w:vAlign w:val="center"/>
          </w:tcPr>
          <w:p>
            <w:pPr>
              <w:pStyle w:val="28"/>
              <w:bidi w:val="0"/>
              <w:rPr>
                <w:rFonts w:hint="eastAsia"/>
                <w:b/>
                <w:bCs/>
              </w:rPr>
            </w:pPr>
            <w:r>
              <w:rPr>
                <w:rFonts w:hint="eastAsia"/>
                <w:b/>
                <w:bCs/>
                <w:lang w:val="en-US" w:eastAsia="zh-CN"/>
              </w:rPr>
              <w:t>总排放量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b/>
                <w:bCs/>
              </w:rPr>
            </w:pPr>
          </w:p>
        </w:tc>
        <w:tc>
          <w:tcPr>
            <w:tcW w:w="822" w:type="pct"/>
            <w:vMerge w:val="continue"/>
            <w:tcBorders>
              <w:tl2br w:val="nil"/>
              <w:tr2bl w:val="nil"/>
            </w:tcBorders>
            <w:shd w:val="clear" w:color="auto" w:fill="auto"/>
            <w:vAlign w:val="center"/>
          </w:tcPr>
          <w:p>
            <w:pPr>
              <w:pStyle w:val="28"/>
              <w:bidi w:val="0"/>
              <w:rPr>
                <w:rFonts w:hint="eastAsia"/>
                <w:b/>
                <w:bCs/>
              </w:rPr>
            </w:pPr>
          </w:p>
        </w:tc>
        <w:tc>
          <w:tcPr>
            <w:tcW w:w="682" w:type="pct"/>
            <w:vMerge w:val="continue"/>
            <w:tcBorders>
              <w:tl2br w:val="nil"/>
              <w:tr2bl w:val="nil"/>
            </w:tcBorders>
            <w:shd w:val="clear" w:color="auto" w:fill="auto"/>
            <w:vAlign w:val="center"/>
          </w:tcPr>
          <w:p>
            <w:pPr>
              <w:pStyle w:val="28"/>
              <w:bidi w:val="0"/>
              <w:rPr>
                <w:rFonts w:hint="eastAsia"/>
                <w:b/>
                <w:bCs/>
              </w:rPr>
            </w:pPr>
          </w:p>
        </w:tc>
        <w:tc>
          <w:tcPr>
            <w:tcW w:w="341" w:type="pct"/>
            <w:vMerge w:val="continue"/>
            <w:tcBorders>
              <w:tl2br w:val="nil"/>
              <w:tr2bl w:val="nil"/>
            </w:tcBorders>
            <w:shd w:val="clear" w:color="auto" w:fill="auto"/>
            <w:vAlign w:val="center"/>
          </w:tcPr>
          <w:p>
            <w:pPr>
              <w:pStyle w:val="28"/>
              <w:bidi w:val="0"/>
              <w:rPr>
                <w:rFonts w:hint="eastAsia"/>
                <w:b/>
                <w:bCs/>
              </w:rPr>
            </w:pPr>
          </w:p>
        </w:tc>
        <w:tc>
          <w:tcPr>
            <w:tcW w:w="567" w:type="pct"/>
            <w:tcBorders>
              <w:tl2br w:val="nil"/>
              <w:tr2bl w:val="nil"/>
            </w:tcBorders>
            <w:shd w:val="clear" w:color="auto" w:fill="auto"/>
            <w:vAlign w:val="center"/>
          </w:tcPr>
          <w:p>
            <w:pPr>
              <w:pStyle w:val="28"/>
              <w:bidi w:val="0"/>
              <w:rPr>
                <w:rFonts w:hint="eastAsia"/>
                <w:b/>
                <w:bCs/>
              </w:rPr>
            </w:pPr>
            <w:r>
              <w:rPr>
                <w:rFonts w:hint="eastAsia"/>
                <w:b/>
                <w:bCs/>
                <w:lang w:val="en-US" w:eastAsia="zh-CN"/>
              </w:rPr>
              <w:t>排放因子</w:t>
            </w:r>
          </w:p>
        </w:tc>
        <w:tc>
          <w:tcPr>
            <w:tcW w:w="523" w:type="pct"/>
            <w:tcBorders>
              <w:tl2br w:val="nil"/>
              <w:tr2bl w:val="nil"/>
            </w:tcBorders>
            <w:shd w:val="clear" w:color="auto" w:fill="auto"/>
            <w:vAlign w:val="center"/>
          </w:tcPr>
          <w:p>
            <w:pPr>
              <w:pStyle w:val="28"/>
              <w:bidi w:val="0"/>
              <w:rPr>
                <w:rFonts w:hint="eastAsia"/>
                <w:b/>
                <w:bCs/>
              </w:rPr>
            </w:pPr>
            <w:r>
              <w:rPr>
                <w:rFonts w:hint="eastAsia"/>
                <w:b/>
                <w:bCs/>
                <w:lang w:val="en-US" w:eastAsia="zh-CN"/>
              </w:rPr>
              <w:t>单位</w:t>
            </w:r>
          </w:p>
        </w:tc>
        <w:tc>
          <w:tcPr>
            <w:tcW w:w="582" w:type="pct"/>
            <w:tcBorders>
              <w:tl2br w:val="nil"/>
              <w:tr2bl w:val="nil"/>
            </w:tcBorders>
            <w:shd w:val="clear" w:color="auto" w:fill="auto"/>
            <w:vAlign w:val="center"/>
          </w:tcPr>
          <w:p>
            <w:pPr>
              <w:pStyle w:val="28"/>
              <w:bidi w:val="0"/>
              <w:rPr>
                <w:rFonts w:hint="default"/>
                <w:b/>
                <w:bCs/>
              </w:rPr>
            </w:pPr>
            <w:r>
              <w:rPr>
                <w:rFonts w:hint="default"/>
                <w:b/>
                <w:bCs/>
                <w:lang w:val="en-US" w:eastAsia="zh-CN"/>
              </w:rPr>
              <w:t>GWP</w:t>
            </w:r>
          </w:p>
        </w:tc>
        <w:tc>
          <w:tcPr>
            <w:tcW w:w="580" w:type="pct"/>
            <w:tcBorders>
              <w:tl2br w:val="nil"/>
              <w:tr2bl w:val="nil"/>
            </w:tcBorders>
            <w:shd w:val="clear" w:color="auto" w:fill="auto"/>
            <w:vAlign w:val="center"/>
          </w:tcPr>
          <w:p>
            <w:pPr>
              <w:pStyle w:val="28"/>
              <w:bidi w:val="0"/>
              <w:rPr>
                <w:rFonts w:hint="default"/>
                <w:b/>
                <w:bCs/>
              </w:rPr>
            </w:pPr>
            <w:r>
              <w:rPr>
                <w:rFonts w:hint="default"/>
                <w:b/>
                <w:bCs/>
                <w:lang w:val="en-US" w:eastAsia="zh-CN"/>
              </w:rPr>
              <w:t>tCO</w:t>
            </w:r>
            <w:r>
              <w:rPr>
                <w:rFonts w:hint="default"/>
                <w:b/>
                <w:bCs/>
                <w:vertAlign w:val="subscript"/>
                <w:lang w:val="en-US" w:eastAsia="zh-CN"/>
              </w:rPr>
              <w:t>2</w:t>
            </w:r>
            <w:r>
              <w:rPr>
                <w:rFonts w:hint="default"/>
                <w:b/>
                <w:bCs/>
                <w:lang w:val="en-US" w:eastAsia="zh-CN"/>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restart"/>
            <w:tcBorders>
              <w:tl2br w:val="nil"/>
              <w:tr2bl w:val="nil"/>
            </w:tcBorders>
            <w:shd w:val="clear" w:color="auto" w:fill="auto"/>
            <w:vAlign w:val="center"/>
          </w:tcPr>
          <w:p>
            <w:pPr>
              <w:pStyle w:val="28"/>
              <w:bidi w:val="0"/>
              <w:jc w:val="center"/>
              <w:rPr>
                <w:rFonts w:hint="eastAsia"/>
              </w:rPr>
            </w:pPr>
            <w:r>
              <w:rPr>
                <w:rFonts w:hint="eastAsia"/>
                <w:lang w:val="en-US" w:eastAsia="zh-CN"/>
              </w:rPr>
              <w:t>原材料提取制造</w:t>
            </w:r>
          </w:p>
        </w:tc>
        <w:tc>
          <w:tcPr>
            <w:tcW w:w="822"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eastAsia"/>
              </w:rPr>
            </w:pPr>
            <w:r>
              <w:rPr>
                <w:rFonts w:hint="eastAsia" w:ascii="宋体" w:hAnsi="宋体" w:eastAsia="宋体" w:cs="宋体"/>
                <w:i w:val="0"/>
                <w:iCs w:val="0"/>
                <w:color w:val="000000"/>
                <w:kern w:val="0"/>
                <w:sz w:val="22"/>
                <w:szCs w:val="22"/>
                <w:u w:val="none"/>
                <w:lang w:val="en-US" w:eastAsia="zh-CN" w:bidi="ar"/>
              </w:rPr>
              <w:t>再生铝</w:t>
            </w:r>
          </w:p>
        </w:tc>
        <w:tc>
          <w:tcPr>
            <w:tcW w:w="682"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rPr>
            </w:pPr>
            <w:r>
              <w:rPr>
                <w:rFonts w:hint="default" w:ascii="Times New Roman" w:hAnsi="Times New Roman" w:eastAsia="等线" w:cs="Times New Roman"/>
                <w:i w:val="0"/>
                <w:iCs w:val="0"/>
                <w:color w:val="000000"/>
                <w:kern w:val="0"/>
                <w:sz w:val="22"/>
                <w:szCs w:val="22"/>
                <w:u w:val="none"/>
                <w:lang w:val="en-US" w:eastAsia="zh-CN" w:bidi="ar"/>
              </w:rPr>
              <w:t>59,757.87</w:t>
            </w:r>
          </w:p>
        </w:tc>
        <w:tc>
          <w:tcPr>
            <w:tcW w:w="341" w:type="pct"/>
            <w:tcBorders>
              <w:tl2br w:val="nil"/>
              <w:tr2bl w:val="nil"/>
            </w:tcBorders>
            <w:shd w:val="clear" w:color="auto" w:fill="auto"/>
            <w:vAlign w:val="center"/>
          </w:tcPr>
          <w:p>
            <w:pPr>
              <w:keepNext w:val="0"/>
              <w:keepLines w:val="0"/>
              <w:widowControl/>
              <w:suppressLineNumbers w:val="0"/>
              <w:ind w:left="0" w:leftChars="0" w:firstLine="0" w:firstLineChars="0"/>
              <w:jc w:val="center"/>
              <w:textAlignment w:val="center"/>
              <w:rPr>
                <w:rFonts w:hint="default"/>
              </w:rPr>
            </w:pPr>
            <w:r>
              <w:rPr>
                <w:rFonts w:hint="default" w:ascii="Times New Roman" w:hAnsi="Times New Roman" w:eastAsia="等线" w:cs="Times New Roman"/>
                <w:i w:val="0"/>
                <w:iCs w:val="0"/>
                <w:color w:val="000000"/>
                <w:kern w:val="0"/>
                <w:sz w:val="22"/>
                <w:szCs w:val="22"/>
                <w:u w:val="none"/>
                <w:lang w:val="en-US" w:eastAsia="zh-CN" w:bidi="ar"/>
              </w:rPr>
              <w:t>t</w:t>
            </w:r>
          </w:p>
        </w:tc>
        <w:tc>
          <w:tcPr>
            <w:tcW w:w="567" w:type="pct"/>
            <w:tcBorders>
              <w:tl2br w:val="nil"/>
              <w:tr2bl w:val="nil"/>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rPr>
            </w:pPr>
            <w:r>
              <w:rPr>
                <w:rFonts w:hint="default" w:ascii="Times New Roman" w:hAnsi="Times New Roman" w:eastAsia="等线" w:cs="Times New Roman"/>
                <w:i w:val="0"/>
                <w:iCs w:val="0"/>
                <w:color w:val="000000"/>
                <w:kern w:val="0"/>
                <w:sz w:val="22"/>
                <w:szCs w:val="22"/>
                <w:u w:val="none"/>
                <w:lang w:val="en-US" w:eastAsia="zh-CN" w:bidi="ar"/>
              </w:rPr>
              <w:t>0.2930</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rPr>
            </w:pPr>
            <w:r>
              <w:rPr>
                <w:rFonts w:hint="default"/>
                <w:lang w:val="en-US" w:eastAsia="zh-CN"/>
              </w:rPr>
              <w:t>1.00</w:t>
            </w:r>
          </w:p>
        </w:tc>
        <w:tc>
          <w:tcPr>
            <w:tcW w:w="1650" w:type="dxa"/>
            <w:tcBorders>
              <w:tl2br w:val="nil"/>
              <w:tr2bl w:val="nil"/>
            </w:tcBorders>
            <w:shd w:val="clear" w:color="auto" w:fill="auto"/>
            <w:vAlign w:val="center"/>
          </w:tcPr>
          <w:p>
            <w:pPr>
              <w:pStyle w:val="28"/>
              <w:ind w:firstLine="0" w:firstLineChars="0"/>
              <w:jc w:val="center"/>
              <w:rPr>
                <w:rFonts w:hint="default"/>
                <w:lang w:eastAsia="zh-CN"/>
              </w:rPr>
            </w:pPr>
            <w:r>
              <w:rPr>
                <w:rFonts w:hint="default" w:ascii="Times New Roman" w:hAnsi="Times New Roman" w:eastAsia="宋体" w:cstheme="minorBidi"/>
                <w:i w:val="0"/>
                <w:iCs w:val="0"/>
                <w:kern w:val="0"/>
                <w:sz w:val="21"/>
                <w:szCs w:val="22"/>
                <w:u w:val="none"/>
                <w:lang w:val="en-US" w:eastAsia="zh-CN" w:bidi="ar"/>
              </w:rPr>
              <w:t xml:space="preserve">17,511.84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工业硅</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2,492.45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10.8949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27,154.98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镁</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30.90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27.9175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862.68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锰</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15.27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5.6755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86.67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铜</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25.26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4.7581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120.19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铝锭</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9,407.04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22.1415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208,285.76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钛金属</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37.91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51.9685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pStyle w:val="28"/>
              <w:ind w:firstLine="0" w:firstLineChars="0"/>
              <w:jc w:val="center"/>
              <w:rPr>
                <w:rFonts w:hint="default"/>
                <w:lang w:val="en-US" w:eastAsia="zh-CN"/>
              </w:rPr>
            </w:pPr>
            <w:r>
              <w:rPr>
                <w:rFonts w:hint="default" w:ascii="Times New Roman" w:hAnsi="Times New Roman" w:eastAsia="宋体" w:cstheme="minorBidi"/>
                <w:i w:val="0"/>
                <w:iCs w:val="0"/>
                <w:kern w:val="0"/>
                <w:sz w:val="21"/>
                <w:szCs w:val="22"/>
                <w:u w:val="none"/>
                <w:lang w:val="en-US" w:eastAsia="zh-CN" w:bidi="ar"/>
              </w:rPr>
              <w:t xml:space="preserve">1,970.29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restart"/>
            <w:tcBorders>
              <w:tl2br w:val="nil"/>
              <w:tr2bl w:val="nil"/>
            </w:tcBorders>
            <w:shd w:val="clear" w:color="auto" w:fill="auto"/>
            <w:vAlign w:val="center"/>
          </w:tcPr>
          <w:p>
            <w:pPr>
              <w:pStyle w:val="28"/>
              <w:bidi w:val="0"/>
              <w:rPr>
                <w:rFonts w:hint="eastAsia"/>
              </w:rPr>
            </w:pPr>
            <w:r>
              <w:rPr>
                <w:rFonts w:hint="eastAsia"/>
                <w:lang w:val="en-US" w:eastAsia="zh-CN"/>
              </w:rPr>
              <w:t>废弃物处置</w:t>
            </w: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废电路板</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0.00</w:t>
            </w:r>
            <w:r>
              <w:rPr>
                <w:rFonts w:hint="eastAsia"/>
                <w:lang w:val="en-US" w:eastAsia="zh-CN"/>
              </w:rPr>
              <w:t>15</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2.5150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0.0038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废石棉</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3.04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0.0393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废除尘布袋</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6.39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2.5150 </w:t>
            </w:r>
          </w:p>
        </w:tc>
        <w:tc>
          <w:tcPr>
            <w:tcW w:w="523" w:type="pct"/>
            <w:tcBorders>
              <w:tl2br w:val="nil"/>
              <w:tr2bl w:val="nil"/>
            </w:tcBorders>
            <w:shd w:val="clear" w:color="auto" w:fill="auto"/>
            <w:vAlign w:val="center"/>
          </w:tcPr>
          <w:p>
            <w:pPr>
              <w:pStyle w:val="28"/>
              <w:bidi w:val="0"/>
              <w:ind w:firstLine="0" w:firstLineChars="0"/>
              <w:jc w:val="center"/>
              <w:rPr>
                <w:rFonts w:hint="default" w:ascii="Times New Roman" w:hAnsi="Times New Roman" w:eastAsia="宋体" w:cstheme="minorBidi"/>
                <w:kern w:val="0"/>
                <w:sz w:val="21"/>
                <w:szCs w:val="22"/>
                <w:lang w:val="en-US" w:eastAsia="zh-CN" w:bidi="ar-SA"/>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16.08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废矿物油</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0.06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2.5150 </w:t>
            </w:r>
          </w:p>
        </w:tc>
        <w:tc>
          <w:tcPr>
            <w:tcW w:w="523"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环保灰</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148.65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0.0426 </w:t>
            </w:r>
          </w:p>
        </w:tc>
        <w:tc>
          <w:tcPr>
            <w:tcW w:w="523"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899" w:type="pct"/>
            <w:vMerge w:val="continue"/>
            <w:tcBorders>
              <w:tl2br w:val="nil"/>
              <w:tr2bl w:val="nil"/>
            </w:tcBorders>
            <w:shd w:val="clear" w:color="auto" w:fill="auto"/>
            <w:vAlign w:val="center"/>
          </w:tcPr>
          <w:p>
            <w:pPr>
              <w:pStyle w:val="28"/>
              <w:bidi w:val="0"/>
              <w:rPr>
                <w:rFonts w:hint="eastAsia"/>
              </w:rPr>
            </w:pPr>
          </w:p>
        </w:tc>
        <w:tc>
          <w:tcPr>
            <w:tcW w:w="822" w:type="pct"/>
            <w:tcBorders>
              <w:tl2br w:val="nil"/>
              <w:tr2bl w:val="nil"/>
            </w:tcBorders>
            <w:shd w:val="clear" w:color="auto" w:fill="auto"/>
            <w:vAlign w:val="center"/>
          </w:tcPr>
          <w:p>
            <w:pPr>
              <w:pStyle w:val="28"/>
              <w:bidi w:val="0"/>
              <w:jc w:val="center"/>
              <w:rPr>
                <w:rFonts w:hint="eastAsia"/>
                <w:lang w:val="en-US" w:eastAsia="zh-CN"/>
              </w:rPr>
            </w:pPr>
            <w:r>
              <w:rPr>
                <w:rFonts w:hint="eastAsia"/>
                <w:lang w:val="en-US" w:eastAsia="zh-CN"/>
              </w:rPr>
              <w:t>铝灰（再利用）</w:t>
            </w:r>
          </w:p>
        </w:tc>
        <w:tc>
          <w:tcPr>
            <w:tcW w:w="682"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3,765.71 </w:t>
            </w:r>
          </w:p>
        </w:tc>
        <w:tc>
          <w:tcPr>
            <w:tcW w:w="341"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t</w:t>
            </w:r>
          </w:p>
        </w:tc>
        <w:tc>
          <w:tcPr>
            <w:tcW w:w="567"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 xml:space="preserve">0.0426 </w:t>
            </w:r>
          </w:p>
        </w:tc>
        <w:tc>
          <w:tcPr>
            <w:tcW w:w="523" w:type="pct"/>
            <w:tcBorders>
              <w:tl2br w:val="nil"/>
              <w:tr2bl w:val="nil"/>
            </w:tcBorders>
            <w:shd w:val="clear" w:color="auto" w:fill="auto"/>
            <w:vAlign w:val="center"/>
          </w:tcPr>
          <w:p>
            <w:pPr>
              <w:pStyle w:val="28"/>
              <w:bidi w:val="0"/>
              <w:jc w:val="center"/>
              <w:rPr>
                <w:rFonts w:hint="default"/>
                <w:lang w:val="en-US" w:eastAsia="zh-CN"/>
              </w:rPr>
            </w:pPr>
            <w:r>
              <w:rPr>
                <w:rFonts w:hint="default"/>
                <w:lang w:val="en-US" w:eastAsia="zh-CN"/>
              </w:rPr>
              <w:t>kgCO</w:t>
            </w:r>
            <w:r>
              <w:rPr>
                <w:rFonts w:hint="default"/>
                <w:vertAlign w:val="subscript"/>
                <w:lang w:val="en-US" w:eastAsia="zh-CN"/>
              </w:rPr>
              <w:t>2</w:t>
            </w:r>
            <w:r>
              <w:rPr>
                <w:rFonts w:hint="default"/>
                <w:lang w:val="en-US" w:eastAsia="zh-CN"/>
              </w:rPr>
              <w:t>/kg</w:t>
            </w:r>
          </w:p>
        </w:tc>
        <w:tc>
          <w:tcPr>
            <w:tcW w:w="582" w:type="pct"/>
            <w:tcBorders>
              <w:tl2br w:val="nil"/>
              <w:tr2bl w:val="nil"/>
            </w:tcBorders>
            <w:shd w:val="clear" w:color="auto" w:fill="auto"/>
            <w:noWrap/>
            <w:vAlign w:val="center"/>
          </w:tcPr>
          <w:p>
            <w:pPr>
              <w:pStyle w:val="28"/>
              <w:bidi w:val="0"/>
              <w:jc w:val="center"/>
              <w:rPr>
                <w:rFonts w:hint="default"/>
                <w:lang w:val="en-US" w:eastAsia="zh-CN"/>
              </w:rPr>
            </w:pPr>
            <w:r>
              <w:rPr>
                <w:rFonts w:hint="default"/>
                <w:lang w:val="en-US" w:eastAsia="zh-CN"/>
              </w:rPr>
              <w:t xml:space="preserve">1.00 </w:t>
            </w:r>
          </w:p>
        </w:tc>
        <w:tc>
          <w:tcPr>
            <w:tcW w:w="1650" w:type="dxa"/>
            <w:tcBorders>
              <w:tl2br w:val="nil"/>
              <w:tr2bl w:val="nil"/>
            </w:tcBorders>
            <w:shd w:val="clear" w:color="auto" w:fill="auto"/>
            <w:vAlign w:val="center"/>
          </w:tcPr>
          <w:p>
            <w:pPr>
              <w:ind w:firstLine="0" w:firstLineChars="0"/>
              <w:jc w:val="center"/>
              <w:rPr>
                <w:rFonts w:hint="default"/>
                <w:kern w:val="0"/>
                <w:sz w:val="21"/>
                <w:u w:val="none"/>
                <w:lang w:val="en-US" w:eastAsia="zh-CN" w:bidi="ar"/>
              </w:rPr>
            </w:pPr>
            <w:r>
              <w:rPr>
                <w:rFonts w:hint="default" w:ascii="Times New Roman" w:hAnsi="Times New Roman" w:eastAsia="宋体" w:cstheme="minorBidi"/>
                <w:i w:val="0"/>
                <w:iCs w:val="0"/>
                <w:kern w:val="0"/>
                <w:sz w:val="21"/>
                <w:szCs w:val="22"/>
                <w:u w:val="none"/>
                <w:lang w:val="en-US" w:eastAsia="zh-CN" w:bidi="ar"/>
              </w:rPr>
              <w:t>160.43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19" w:type="pct"/>
            <w:gridSpan w:val="7"/>
            <w:tcBorders>
              <w:tl2br w:val="nil"/>
              <w:tr2bl w:val="nil"/>
            </w:tcBorders>
            <w:shd w:val="clear" w:color="auto" w:fill="auto"/>
            <w:noWrap/>
            <w:vAlign w:val="center"/>
          </w:tcPr>
          <w:p>
            <w:pPr>
              <w:pStyle w:val="28"/>
              <w:bidi w:val="0"/>
              <w:rPr>
                <w:rFonts w:hint="eastAsia"/>
                <w:b/>
                <w:bCs/>
                <w:lang w:val="en-US" w:eastAsia="zh-CN"/>
              </w:rPr>
            </w:pPr>
            <w:r>
              <w:rPr>
                <w:rFonts w:hint="eastAsia"/>
                <w:b/>
                <w:bCs/>
                <w:lang w:val="en-US" w:eastAsia="zh-CN"/>
              </w:rPr>
              <w:t>组织使用产品的间接温室气体排放小计</w:t>
            </w:r>
          </w:p>
        </w:tc>
        <w:tc>
          <w:tcPr>
            <w:tcW w:w="1650" w:type="dxa"/>
            <w:tcBorders>
              <w:tl2br w:val="nil"/>
              <w:tr2bl w:val="nil"/>
            </w:tcBorders>
            <w:shd w:val="clear" w:color="auto" w:fill="auto"/>
            <w:vAlign w:val="center"/>
          </w:tcPr>
          <w:p>
            <w:pPr>
              <w:pStyle w:val="28"/>
              <w:ind w:firstLine="0" w:firstLineChars="0"/>
              <w:jc w:val="center"/>
              <w:rPr>
                <w:rFonts w:hint="default"/>
                <w:b w:val="0"/>
                <w:bCs w:val="0"/>
                <w:lang w:val="en-US" w:eastAsia="zh-CN"/>
              </w:rPr>
            </w:pPr>
            <w:r>
              <w:rPr>
                <w:rFonts w:hint="eastAsia" w:cstheme="minorBidi"/>
                <w:b/>
                <w:bCs/>
                <w:i w:val="0"/>
                <w:iCs w:val="0"/>
                <w:kern w:val="0"/>
                <w:sz w:val="21"/>
                <w:szCs w:val="22"/>
                <w:u w:val="none"/>
                <w:lang w:val="en-US" w:eastAsia="zh-CN" w:bidi="ar"/>
              </w:rPr>
              <w:t>256,175.52</w:t>
            </w:r>
          </w:p>
        </w:tc>
      </w:tr>
    </w:tbl>
    <w:p>
      <w:pPr>
        <w:ind w:firstLine="480"/>
      </w:pPr>
    </w:p>
    <w:tbl>
      <w:tblPr>
        <w:tblStyle w:val="10"/>
        <w:tblW w:w="5000" w:type="pct"/>
        <w:jc w:val="center"/>
        <w:tblLayout w:type="autofit"/>
        <w:tblCellMar>
          <w:top w:w="0" w:type="dxa"/>
          <w:left w:w="108" w:type="dxa"/>
          <w:bottom w:w="0" w:type="dxa"/>
          <w:right w:w="108" w:type="dxa"/>
        </w:tblCellMar>
      </w:tblPr>
      <w:tblGrid>
        <w:gridCol w:w="2369"/>
        <w:gridCol w:w="2369"/>
        <w:gridCol w:w="2369"/>
        <w:gridCol w:w="2369"/>
        <w:gridCol w:w="2369"/>
        <w:gridCol w:w="2375"/>
      </w:tblGrid>
      <w:tr>
        <w:tblPrEx>
          <w:tblCellMar>
            <w:top w:w="0" w:type="dxa"/>
            <w:left w:w="108" w:type="dxa"/>
            <w:bottom w:w="0" w:type="dxa"/>
            <w:right w:w="108" w:type="dxa"/>
          </w:tblCellMar>
        </w:tblPrEx>
        <w:trPr>
          <w:trHeight w:val="467"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40" w:lineRule="auto"/>
              <w:jc w:val="center"/>
              <w:textAlignment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kern w:val="0"/>
                <w:sz w:val="24"/>
                <w:szCs w:val="24"/>
                <w:lang w:bidi="ar"/>
                <w14:textFill>
                  <w14:solidFill>
                    <w14:schemeClr w14:val="tx1"/>
                  </w14:solidFill>
                </w14:textFill>
              </w:rPr>
              <w:t>202</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ascii="Times New Roman" w:hAnsi="Times New Roman" w:eastAsia="宋体" w:cs="Times New Roman"/>
                <w:b/>
                <w:bCs/>
                <w:color w:val="000000" w:themeColor="text1"/>
                <w:kern w:val="0"/>
                <w:sz w:val="24"/>
                <w:szCs w:val="24"/>
                <w:lang w:bidi="ar"/>
                <w14:textFill>
                  <w14:solidFill>
                    <w14:schemeClr w14:val="tx1"/>
                  </w14:solidFill>
                </w14:textFill>
              </w:rPr>
              <w:t>年温室气体分类计算</w:t>
            </w:r>
          </w:p>
        </w:tc>
      </w:tr>
      <w:tr>
        <w:tblPrEx>
          <w:tblCellMar>
            <w:top w:w="0" w:type="dxa"/>
            <w:left w:w="108" w:type="dxa"/>
            <w:bottom w:w="0" w:type="dxa"/>
            <w:right w:w="108" w:type="dxa"/>
          </w:tblCellMar>
        </w:tblPrEx>
        <w:trPr>
          <w:trHeight w:val="567"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lang w:bidi="ar"/>
                <w14:textFill>
                  <w14:solidFill>
                    <w14:schemeClr w14:val="tx1"/>
                  </w14:solidFill>
                </w14:textFill>
              </w:rPr>
              <w:t>各类排放源</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lang w:bidi="ar"/>
                <w14:textFill>
                  <w14:solidFill>
                    <w14:schemeClr w14:val="tx1"/>
                  </w14:solidFill>
                </w14:textFill>
              </w:rPr>
              <w:t>直接排放源</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lang w:bidi="ar"/>
                <w14:textFill>
                  <w14:solidFill>
                    <w14:schemeClr w14:val="tx1"/>
                  </w14:solidFill>
                </w14:textFill>
              </w:rPr>
              <w:t>能源间接排放源</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lang w:bidi="ar"/>
                <w14:textFill>
                  <w14:solidFill>
                    <w14:schemeClr w14:val="tx1"/>
                  </w14:solidFill>
                </w14:textFill>
              </w:rPr>
              <w:t>运输间接排放源</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kern w:val="0"/>
                <w:sz w:val="21"/>
                <w:szCs w:val="21"/>
                <w:lang w:bidi="ar"/>
                <w14:textFill>
                  <w14:solidFill>
                    <w14:schemeClr w14:val="tx1"/>
                  </w14:solidFill>
                </w14:textFill>
              </w:rPr>
              <w:t>组织使用产品的间接排放源</w:t>
            </w:r>
          </w:p>
        </w:tc>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center"/>
              <w:rPr>
                <w:rFonts w:ascii="Times New Roman" w:hAnsi="Times New Roman" w:eastAsia="宋体" w:cs="Times New Roman"/>
                <w:b/>
                <w:bCs/>
                <w:color w:val="000000" w:themeColor="text1"/>
                <w:sz w:val="21"/>
                <w:szCs w:val="21"/>
                <w14:textFill>
                  <w14:solidFill>
                    <w14:schemeClr w14:val="tx1"/>
                  </w14:solidFill>
                </w14:textFill>
              </w:rPr>
            </w:pPr>
            <w:r>
              <w:rPr>
                <w:rStyle w:val="59"/>
                <w:rFonts w:hint="default" w:ascii="Times New Roman" w:hAnsi="Times New Roman" w:cs="Times New Roman"/>
                <w:b/>
                <w:bCs/>
                <w:color w:val="000000" w:themeColor="text1"/>
                <w:sz w:val="21"/>
                <w:szCs w:val="21"/>
                <w:lang w:bidi="ar"/>
                <w14:textFill>
                  <w14:solidFill>
                    <w14:schemeClr w14:val="tx1"/>
                  </w14:solidFill>
                </w14:textFill>
              </w:rPr>
              <w:t>总排放量tCO</w:t>
            </w:r>
            <w:r>
              <w:rPr>
                <w:rStyle w:val="60"/>
                <w:rFonts w:hint="default" w:ascii="Times New Roman" w:hAnsi="Times New Roman" w:cs="Times New Roman"/>
                <w:color w:val="000000" w:themeColor="text1"/>
                <w:sz w:val="21"/>
                <w:szCs w:val="21"/>
                <w:lang w:bidi="ar"/>
                <w14:textFill>
                  <w14:solidFill>
                    <w14:schemeClr w14:val="tx1"/>
                  </w14:solidFill>
                </w14:textFill>
              </w:rPr>
              <w:t>2</w:t>
            </w:r>
            <w:r>
              <w:rPr>
                <w:rStyle w:val="59"/>
                <w:rFonts w:hint="default" w:ascii="Times New Roman" w:hAnsi="Times New Roman" w:cs="Times New Roman"/>
                <w:b/>
                <w:bCs/>
                <w:color w:val="000000" w:themeColor="text1"/>
                <w:sz w:val="21"/>
                <w:szCs w:val="21"/>
                <w:lang w:bidi="ar"/>
                <w14:textFill>
                  <w14:solidFill>
                    <w14:schemeClr w14:val="tx1"/>
                  </w14:solidFill>
                </w14:textFill>
              </w:rPr>
              <w:t>e</w:t>
            </w:r>
          </w:p>
        </w:tc>
      </w:tr>
      <w:tr>
        <w:tblPrEx>
          <w:tblCellMar>
            <w:top w:w="0" w:type="dxa"/>
            <w:left w:w="108" w:type="dxa"/>
            <w:bottom w:w="0" w:type="dxa"/>
            <w:right w:w="108" w:type="dxa"/>
          </w:tblCellMar>
        </w:tblPrEx>
        <w:trPr>
          <w:trHeight w:val="567"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bottom"/>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kern w:val="0"/>
                <w:sz w:val="21"/>
                <w:szCs w:val="21"/>
                <w:lang w:bidi="ar"/>
                <w14:textFill>
                  <w14:solidFill>
                    <w14:schemeClr w14:val="tx1"/>
                  </w14:solidFill>
                </w14:textFill>
              </w:rPr>
              <w:t>温室气体排放当量（</w:t>
            </w:r>
            <w:r>
              <w:rPr>
                <w:rStyle w:val="56"/>
                <w:rFonts w:hint="default" w:ascii="Times New Roman" w:hAnsi="Times New Roman" w:cs="Times New Roman"/>
                <w:color w:val="000000" w:themeColor="text1"/>
                <w:sz w:val="21"/>
                <w:szCs w:val="21"/>
                <w:lang w:bidi="ar"/>
                <w14:textFill>
                  <w14:solidFill>
                    <w14:schemeClr w14:val="tx1"/>
                  </w14:solidFill>
                </w14:textFill>
              </w:rPr>
              <w:t>tCO</w:t>
            </w:r>
            <w:r>
              <w:rPr>
                <w:rFonts w:ascii="Times New Roman" w:hAnsi="Times New Roman" w:eastAsia="宋体" w:cs="Times New Roman"/>
                <w:color w:val="000000" w:themeColor="text1"/>
                <w:kern w:val="0"/>
                <w:sz w:val="21"/>
                <w:szCs w:val="21"/>
                <w:vertAlign w:val="subscript"/>
                <w:lang w:bidi="ar"/>
                <w14:textFill>
                  <w14:solidFill>
                    <w14:schemeClr w14:val="tx1"/>
                  </w14:solidFill>
                </w14:textFill>
              </w:rPr>
              <w:t>2</w:t>
            </w:r>
            <w:r>
              <w:rPr>
                <w:rStyle w:val="56"/>
                <w:rFonts w:hint="default" w:ascii="Times New Roman" w:hAnsi="Times New Roman" w:cs="Times New Roman"/>
                <w:color w:val="000000" w:themeColor="text1"/>
                <w:sz w:val="21"/>
                <w:szCs w:val="21"/>
                <w:lang w:bidi="ar"/>
                <w14:textFill>
                  <w14:solidFill>
                    <w14:schemeClr w14:val="tx1"/>
                  </w14:solidFill>
                </w14:textFill>
              </w:rPr>
              <w:t>e</w:t>
            </w:r>
            <w:r>
              <w:rPr>
                <w:rFonts w:ascii="Times New Roman" w:hAnsi="Times New Roman" w:eastAsia="宋体" w:cs="Times New Roman"/>
                <w:color w:val="000000" w:themeColor="text1"/>
                <w:kern w:val="0"/>
                <w:sz w:val="21"/>
                <w:szCs w:val="21"/>
                <w:lang w:bidi="ar"/>
                <w14:textFill>
                  <w14:solidFill>
                    <w14:schemeClr w14:val="tx1"/>
                  </w14:solidFill>
                </w14:textFill>
              </w:rPr>
              <w:t>）</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bidi="ar"/>
              </w:rPr>
            </w:pPr>
            <w:r>
              <w:rPr>
                <w:rFonts w:hint="default" w:ascii="Times New Roman" w:hAnsi="Times New Roman" w:eastAsia="等线" w:cs="Times New Roman"/>
                <w:i w:val="0"/>
                <w:iCs w:val="0"/>
                <w:color w:val="000000"/>
                <w:kern w:val="0"/>
                <w:sz w:val="22"/>
                <w:szCs w:val="22"/>
                <w:u w:val="none"/>
                <w:lang w:val="en-US" w:eastAsia="zh-CN" w:bidi="ar"/>
              </w:rPr>
              <w:t>12,</w:t>
            </w:r>
            <w:r>
              <w:rPr>
                <w:rFonts w:hint="eastAsia" w:eastAsia="等线" w:cs="Times New Roman"/>
                <w:i w:val="0"/>
                <w:iCs w:val="0"/>
                <w:color w:val="000000"/>
                <w:kern w:val="0"/>
                <w:sz w:val="22"/>
                <w:szCs w:val="22"/>
                <w:u w:val="none"/>
                <w:lang w:val="en-US" w:eastAsia="zh-CN" w:bidi="ar"/>
              </w:rPr>
              <w:t>506.41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1,772.48 </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bidi="ar"/>
              </w:rPr>
            </w:pPr>
            <w:r>
              <w:rPr>
                <w:rFonts w:hint="eastAsia" w:eastAsia="等线" w:cs="Times New Roman"/>
                <w:i w:val="0"/>
                <w:iCs w:val="0"/>
                <w:color w:val="000000"/>
                <w:kern w:val="0"/>
                <w:sz w:val="22"/>
                <w:szCs w:val="22"/>
                <w:u w:val="none"/>
                <w:lang w:val="en-US" w:eastAsia="zh-CN" w:bidi="ar"/>
              </w:rPr>
              <w:t>1,501.23</w:t>
            </w:r>
            <w:r>
              <w:rPr>
                <w:rFonts w:hint="default" w:ascii="Times New Roman" w:hAnsi="Times New Roman" w:eastAsia="等线" w:cs="Times New Roman"/>
                <w:i w:val="0"/>
                <w:iCs w:val="0"/>
                <w:color w:val="000000"/>
                <w:kern w:val="0"/>
                <w:sz w:val="22"/>
                <w:szCs w:val="22"/>
                <w:u w:val="none"/>
                <w:lang w:val="en-US" w:eastAsia="zh-CN" w:bidi="ar"/>
              </w:rPr>
              <w:t xml:space="preserve"> </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eastAsia="zh-CN" w:bidi="ar"/>
              </w:rPr>
            </w:pPr>
            <w:r>
              <w:rPr>
                <w:rFonts w:hint="default" w:ascii="Times New Roman" w:hAnsi="Times New Roman" w:eastAsia="等线" w:cs="Times New Roman"/>
                <w:i w:val="0"/>
                <w:iCs w:val="0"/>
                <w:color w:val="000000"/>
                <w:kern w:val="0"/>
                <w:sz w:val="22"/>
                <w:szCs w:val="22"/>
                <w:u w:val="none"/>
                <w:lang w:val="en-US" w:eastAsia="zh-CN" w:bidi="ar"/>
              </w:rPr>
              <w:t xml:space="preserve">256,175.52 </w:t>
            </w: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eastAsia="zh-CN" w:bidi="ar"/>
              </w:rPr>
            </w:pPr>
            <w:r>
              <w:rPr>
                <w:rFonts w:hint="default" w:ascii="Times New Roman" w:hAnsi="Times New Roman" w:eastAsia="等线" w:cs="Times New Roman"/>
                <w:b w:val="0"/>
                <w:bCs w:val="0"/>
                <w:i w:val="0"/>
                <w:iCs w:val="0"/>
                <w:color w:val="000000"/>
                <w:kern w:val="0"/>
                <w:sz w:val="22"/>
                <w:szCs w:val="22"/>
                <w:u w:val="none"/>
                <w:lang w:val="en-US" w:eastAsia="zh-CN" w:bidi="ar"/>
              </w:rPr>
              <w:t>271,</w:t>
            </w:r>
            <w:r>
              <w:rPr>
                <w:rFonts w:hint="eastAsia" w:eastAsia="等线" w:cs="Times New Roman"/>
                <w:b w:val="0"/>
                <w:bCs w:val="0"/>
                <w:i w:val="0"/>
                <w:iCs w:val="0"/>
                <w:color w:val="000000"/>
                <w:kern w:val="0"/>
                <w:sz w:val="22"/>
                <w:szCs w:val="22"/>
                <w:u w:val="none"/>
                <w:lang w:val="en-US" w:eastAsia="zh-CN" w:bidi="ar"/>
              </w:rPr>
              <w:t>955.64</w:t>
            </w:r>
          </w:p>
        </w:tc>
      </w:tr>
      <w:tr>
        <w:tblPrEx>
          <w:tblCellMar>
            <w:top w:w="0" w:type="dxa"/>
            <w:left w:w="108" w:type="dxa"/>
            <w:bottom w:w="0" w:type="dxa"/>
            <w:right w:w="108" w:type="dxa"/>
          </w:tblCellMar>
        </w:tblPrEx>
        <w:trPr>
          <w:trHeight w:val="567" w:hRule="atLeast"/>
          <w:jc w:val="center"/>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textAlignment w:val="bottom"/>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kern w:val="0"/>
                <w:sz w:val="21"/>
                <w:szCs w:val="21"/>
                <w:lang w:bidi="ar"/>
                <w14:textFill>
                  <w14:solidFill>
                    <w14:schemeClr w14:val="tx1"/>
                  </w14:solidFill>
                </w14:textFill>
              </w:rPr>
              <w:t>占总排放量比例（</w:t>
            </w:r>
            <w:r>
              <w:rPr>
                <w:rStyle w:val="56"/>
                <w:rFonts w:hint="default" w:ascii="Times New Roman" w:hAnsi="Times New Roman" w:cs="Times New Roman"/>
                <w:color w:val="000000" w:themeColor="text1"/>
                <w:sz w:val="21"/>
                <w:szCs w:val="21"/>
                <w:lang w:bidi="ar"/>
                <w14:textFill>
                  <w14:solidFill>
                    <w14:schemeClr w14:val="tx1"/>
                  </w14:solidFill>
                </w14:textFill>
              </w:rPr>
              <w:t>%</w:t>
            </w:r>
            <w:r>
              <w:rPr>
                <w:rFonts w:ascii="Times New Roman" w:hAnsi="Times New Roman" w:eastAsia="宋体" w:cs="Times New Roman"/>
                <w:color w:val="000000" w:themeColor="text1"/>
                <w:kern w:val="0"/>
                <w:sz w:val="21"/>
                <w:szCs w:val="21"/>
                <w:lang w:bidi="ar"/>
                <w14:textFill>
                  <w14:solidFill>
                    <w14:schemeClr w14:val="tx1"/>
                  </w14:solidFill>
                </w14:textFill>
              </w:rPr>
              <w:t>）</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bidi="ar"/>
              </w:rPr>
            </w:pPr>
            <w:r>
              <w:rPr>
                <w:rFonts w:hint="default" w:ascii="Times New Roman" w:hAnsi="Times New Roman" w:eastAsia="等线" w:cs="Times New Roman"/>
                <w:i w:val="0"/>
                <w:iCs w:val="0"/>
                <w:color w:val="000000"/>
                <w:kern w:val="0"/>
                <w:sz w:val="22"/>
                <w:szCs w:val="22"/>
                <w:u w:val="none"/>
                <w:lang w:val="en-US" w:eastAsia="zh-CN" w:bidi="ar"/>
              </w:rPr>
              <w:t>4.6</w:t>
            </w:r>
            <w:r>
              <w:rPr>
                <w:rFonts w:hint="eastAsia" w:eastAsia="等线" w:cs="Times New Roman"/>
                <w:i w:val="0"/>
                <w:iCs w:val="0"/>
                <w:color w:val="000000"/>
                <w:kern w:val="0"/>
                <w:sz w:val="22"/>
                <w:szCs w:val="22"/>
                <w:u w:val="none"/>
                <w:lang w:val="en-US" w:eastAsia="zh-CN" w:bidi="ar"/>
              </w:rPr>
              <w:t>0</w:t>
            </w:r>
            <w:r>
              <w:rPr>
                <w:rFonts w:hint="default" w:ascii="Times New Roman" w:hAnsi="Times New Roman" w:eastAsia="等线" w:cs="Times New Roman"/>
                <w:i w:val="0"/>
                <w:iCs w:val="0"/>
                <w:color w:val="000000"/>
                <w:kern w:val="0"/>
                <w:sz w:val="22"/>
                <w:szCs w:val="22"/>
                <w:u w:val="none"/>
                <w:lang w:val="en-US" w:eastAsia="zh-CN" w:bidi="ar"/>
              </w:rPr>
              <w:t>%</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bidi="ar"/>
              </w:rPr>
            </w:pPr>
            <w:r>
              <w:rPr>
                <w:rFonts w:hint="default" w:ascii="Times New Roman" w:hAnsi="Times New Roman" w:eastAsia="等线" w:cs="Times New Roman"/>
                <w:i w:val="0"/>
                <w:iCs w:val="0"/>
                <w:color w:val="000000"/>
                <w:kern w:val="0"/>
                <w:sz w:val="22"/>
                <w:szCs w:val="22"/>
                <w:u w:val="none"/>
                <w:lang w:val="en-US" w:eastAsia="zh-CN" w:bidi="ar"/>
              </w:rPr>
              <w:t>0.65%</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hint="default" w:ascii="Times New Roman" w:hAnsi="Times New Roman" w:eastAsia="等线" w:cs="Times New Roman"/>
                <w:b w:val="0"/>
                <w:bCs w:val="0"/>
                <w:color w:val="000000"/>
                <w:kern w:val="0"/>
                <w:sz w:val="22"/>
                <w:szCs w:val="22"/>
                <w:u w:val="none"/>
                <w:lang w:val="en-US" w:bidi="ar"/>
              </w:rPr>
            </w:pPr>
            <w:r>
              <w:rPr>
                <w:rFonts w:hint="default" w:ascii="Times New Roman" w:hAnsi="Times New Roman" w:eastAsia="等线" w:cs="Times New Roman"/>
                <w:i w:val="0"/>
                <w:iCs w:val="0"/>
                <w:color w:val="000000"/>
                <w:kern w:val="0"/>
                <w:sz w:val="22"/>
                <w:szCs w:val="22"/>
                <w:u w:val="none"/>
                <w:lang w:val="en-US" w:eastAsia="zh-CN" w:bidi="ar"/>
              </w:rPr>
              <w:t>0.</w:t>
            </w:r>
            <w:r>
              <w:rPr>
                <w:rFonts w:hint="eastAsia" w:eastAsia="等线" w:cs="Times New Roman"/>
                <w:i w:val="0"/>
                <w:iCs w:val="0"/>
                <w:color w:val="000000"/>
                <w:kern w:val="0"/>
                <w:sz w:val="22"/>
                <w:szCs w:val="22"/>
                <w:u w:val="none"/>
                <w:lang w:val="en-US" w:eastAsia="zh-CN" w:bidi="ar"/>
              </w:rPr>
              <w:t>55</w:t>
            </w:r>
            <w:r>
              <w:rPr>
                <w:rFonts w:hint="default" w:ascii="Times New Roman" w:hAnsi="Times New Roman" w:eastAsia="等线" w:cs="Times New Roman"/>
                <w:i w:val="0"/>
                <w:iCs w:val="0"/>
                <w:color w:val="000000"/>
                <w:kern w:val="0"/>
                <w:sz w:val="22"/>
                <w:szCs w:val="22"/>
                <w:u w:val="none"/>
                <w:lang w:val="en-US" w:eastAsia="zh-CN" w:bidi="ar"/>
              </w:rPr>
              <w:t>%</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ascii="Times New Roman" w:hAnsi="Times New Roman" w:eastAsia="等线" w:cs="Times New Roman"/>
                <w:b w:val="0"/>
                <w:bCs w:val="0"/>
                <w:color w:val="000000"/>
                <w:kern w:val="0"/>
                <w:sz w:val="22"/>
                <w:szCs w:val="22"/>
                <w:u w:val="none"/>
                <w:lang w:bidi="ar"/>
              </w:rPr>
            </w:pPr>
            <w:r>
              <w:rPr>
                <w:rFonts w:hint="default" w:ascii="Times New Roman" w:hAnsi="Times New Roman" w:eastAsia="等线" w:cs="Times New Roman"/>
                <w:i w:val="0"/>
                <w:iCs w:val="0"/>
                <w:color w:val="000000"/>
                <w:kern w:val="0"/>
                <w:sz w:val="22"/>
                <w:szCs w:val="22"/>
                <w:u w:val="none"/>
                <w:lang w:val="en-US" w:eastAsia="zh-CN" w:bidi="ar"/>
              </w:rPr>
              <w:t>94.</w:t>
            </w:r>
            <w:r>
              <w:rPr>
                <w:rFonts w:hint="eastAsia" w:eastAsia="等线" w:cs="Times New Roman"/>
                <w:i w:val="0"/>
                <w:iCs w:val="0"/>
                <w:color w:val="000000"/>
                <w:kern w:val="0"/>
                <w:sz w:val="22"/>
                <w:szCs w:val="22"/>
                <w:u w:val="none"/>
                <w:lang w:val="en-US" w:eastAsia="zh-CN" w:bidi="ar"/>
              </w:rPr>
              <w:t>20</w:t>
            </w:r>
            <w:r>
              <w:rPr>
                <w:rFonts w:hint="default" w:ascii="Times New Roman" w:hAnsi="Times New Roman" w:eastAsia="等线" w:cs="Times New Roman"/>
                <w:i w:val="0"/>
                <w:iCs w:val="0"/>
                <w:color w:val="000000"/>
                <w:kern w:val="0"/>
                <w:sz w:val="22"/>
                <w:szCs w:val="22"/>
                <w:u w:val="none"/>
                <w:lang w:val="en-US" w:eastAsia="zh-CN" w:bidi="ar"/>
              </w:rPr>
              <w:t>%</w:t>
            </w: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0" w:firstLineChars="0"/>
              <w:jc w:val="center"/>
              <w:textAlignment w:val="center"/>
              <w:rPr>
                <w:rFonts w:ascii="Times New Roman" w:hAnsi="Times New Roman" w:eastAsia="等线" w:cs="Times New Roman"/>
                <w:b w:val="0"/>
                <w:bCs w:val="0"/>
                <w:color w:val="000000"/>
                <w:kern w:val="0"/>
                <w:sz w:val="22"/>
                <w:szCs w:val="22"/>
                <w:u w:val="none"/>
                <w:lang w:bidi="ar"/>
              </w:rPr>
            </w:pPr>
            <w:r>
              <w:rPr>
                <w:rFonts w:hint="default" w:ascii="Times New Roman" w:hAnsi="Times New Roman" w:eastAsia="等线" w:cs="Times New Roman"/>
                <w:i w:val="0"/>
                <w:iCs w:val="0"/>
                <w:color w:val="000000"/>
                <w:kern w:val="0"/>
                <w:sz w:val="22"/>
                <w:szCs w:val="22"/>
                <w:u w:val="none"/>
                <w:lang w:val="en-US" w:eastAsia="zh-CN" w:bidi="ar"/>
              </w:rPr>
              <w:t>100%</w:t>
            </w:r>
          </w:p>
        </w:tc>
      </w:tr>
    </w:tbl>
    <w:p>
      <w:pPr>
        <w:ind w:left="0" w:leftChars="0" w:firstLine="0" w:firstLineChars="0"/>
      </w:pPr>
    </w:p>
    <w:sectPr>
      <w:pgSz w:w="16838" w:h="11906" w:orient="landscape"/>
      <w:pgMar w:top="1701" w:right="1417" w:bottom="1701" w:left="1417" w:header="851" w:footer="992" w:gutter="283"/>
      <w:cols w:space="0" w:num="1"/>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jc w:val="center"/>
      <w:rPr>
        <w:sz w:val="21"/>
        <w:szCs w:val="21"/>
      </w:rPr>
    </w:pPr>
    <w:r>
      <w:rPr>
        <w:color w:val="auto"/>
        <w:sz w:val="21"/>
        <w:szCs w:val="21"/>
      </w:rPr>
      <w:fldChar w:fldCharType="begin"/>
    </w:r>
    <w:r>
      <w:rPr>
        <w:color w:val="auto"/>
        <w:sz w:val="21"/>
        <w:szCs w:val="21"/>
      </w:rPr>
      <w:instrText xml:space="preserve">PAGE  \* ROMAN  \* MERGEFORMAT</w:instrText>
    </w:r>
    <w:r>
      <w:rPr>
        <w:color w:val="auto"/>
        <w:sz w:val="21"/>
        <w:szCs w:val="21"/>
      </w:rPr>
      <w:fldChar w:fldCharType="separate"/>
    </w:r>
    <w:r>
      <w:rPr>
        <w:color w:val="auto"/>
        <w:sz w:val="21"/>
        <w:szCs w:val="21"/>
        <w:lang w:val="zh-CN"/>
      </w:rPr>
      <w:t>I</w:t>
    </w:r>
    <w:r>
      <w:rPr>
        <w:color w:val="auto"/>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20"/>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360"/>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6"/>
                      <w:ind w:firstLine="360"/>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ind w:firstLine="0" w:firstLineChars="0"/>
      <w:jc w:val="right"/>
      <w:rPr>
        <w:rFonts w:cs="Times New Roman"/>
        <w:sz w:val="18"/>
        <w:szCs w:val="18"/>
      </w:rPr>
    </w:pPr>
    <w:r>
      <w:rPr>
        <w:rFonts w:cs="Times New Roman"/>
        <w:sz w:val="18"/>
        <w:szCs w:val="18"/>
      </w:rPr>
      <w:drawing>
        <wp:anchor distT="0" distB="0" distL="114300" distR="114300" simplePos="0" relativeHeight="251659264" behindDoc="1" locked="0" layoutInCell="1" allowOverlap="1">
          <wp:simplePos x="0" y="0"/>
          <wp:positionH relativeFrom="column">
            <wp:posOffset>44450</wp:posOffset>
          </wp:positionH>
          <wp:positionV relativeFrom="paragraph">
            <wp:posOffset>-33655</wp:posOffset>
          </wp:positionV>
          <wp:extent cx="800100" cy="215265"/>
          <wp:effectExtent l="0" t="0" r="0" b="0"/>
          <wp:wrapNone/>
          <wp:docPr id="2" name="图片 2" descr="d:\tmp\WeChat Files\2f7392cc46f5404f26ab6bd4d2dcf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tmp\WeChat Files\2f7392cc46f5404f26ab6bd4d2dcf8f.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00100" cy="215265"/>
                  </a:xfrm>
                  <a:prstGeom prst="rect">
                    <a:avLst/>
                  </a:prstGeom>
                  <a:noFill/>
                  <a:ln>
                    <a:noFill/>
                  </a:ln>
                </pic:spPr>
              </pic:pic>
            </a:graphicData>
          </a:graphic>
        </wp:anchor>
      </w:drawing>
    </w:r>
    <w:r>
      <w:rPr>
        <w:rFonts w:cs="Times New Roman"/>
        <w:sz w:val="18"/>
        <w:szCs w:val="18"/>
      </w:rPr>
      <w:t>广东隆达铝业有限公司202</w:t>
    </w:r>
    <w:r>
      <w:rPr>
        <w:rFonts w:hint="eastAsia" w:cs="Times New Roman"/>
        <w:sz w:val="18"/>
        <w:szCs w:val="18"/>
      </w:rPr>
      <w:t>3</w:t>
    </w:r>
    <w:r>
      <w:rPr>
        <w:rFonts w:cs="Times New Roman"/>
        <w:sz w:val="18"/>
        <w:szCs w:val="18"/>
      </w:rPr>
      <w:t>年度温室气体排放盘查报告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left"/>
    </w:pPr>
    <w:r>
      <w:rPr>
        <w:rFonts w:hint="eastAsia" w:cs="宋体"/>
      </w:rPr>
      <w:t>碳排放权交易市场建设核查服务项目（第二包）天津市环境保护科学研究院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00F1B"/>
    <w:multiLevelType w:val="multilevel"/>
    <w:tmpl w:val="15800F1B"/>
    <w:lvl w:ilvl="0" w:tentative="0">
      <w:start w:val="1"/>
      <w:numFmt w:val="decimal"/>
      <w:pStyle w:val="35"/>
      <w:lvlText w:val="表3-%1"/>
      <w:lvlJc w:val="left"/>
      <w:rPr>
        <w:rFonts w:ascii="Times New Roman" w:hAnsi="Times New Roman" w:cs="Times New Roman"/>
        <w:bCs w:val="0"/>
        <w:i w:val="0"/>
        <w:iCs w:val="0"/>
        <w:caps w:val="0"/>
        <w:smallCaps w:val="0"/>
        <w:strike w:val="0"/>
        <w:dstrike w:val="0"/>
        <w:vanish w:val="0"/>
        <w:color w:val="000000"/>
        <w:spacing w:val="0"/>
        <w:position w:val="0"/>
        <w:u w:val="none"/>
        <w:vertAlign w:val="baseline"/>
        <w:lang w:val="en-US"/>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5EC3D99"/>
    <w:multiLevelType w:val="multilevel"/>
    <w:tmpl w:val="45EC3D99"/>
    <w:lvl w:ilvl="0" w:tentative="0">
      <w:start w:val="1"/>
      <w:numFmt w:val="decimal"/>
      <w:lvlText w:val="表%1."/>
      <w:lvlJc w:val="left"/>
      <w:pPr>
        <w:ind w:left="3539" w:hanging="420"/>
      </w:pPr>
      <w:rPr>
        <w:rFonts w:hint="eastAsia"/>
      </w:rPr>
    </w:lvl>
    <w:lvl w:ilvl="1" w:tentative="0">
      <w:start w:val="1"/>
      <w:numFmt w:val="lowerLetter"/>
      <w:lvlText w:val="%2)"/>
      <w:lvlJc w:val="left"/>
      <w:pPr>
        <w:ind w:left="3959" w:hanging="420"/>
      </w:pPr>
    </w:lvl>
    <w:lvl w:ilvl="2" w:tentative="0">
      <w:start w:val="1"/>
      <w:numFmt w:val="lowerRoman"/>
      <w:lvlText w:val="%3."/>
      <w:lvlJc w:val="right"/>
      <w:pPr>
        <w:ind w:left="4379" w:hanging="420"/>
      </w:pPr>
    </w:lvl>
    <w:lvl w:ilvl="3" w:tentative="0">
      <w:start w:val="1"/>
      <w:numFmt w:val="decimal"/>
      <w:lvlText w:val="%4."/>
      <w:lvlJc w:val="left"/>
      <w:pPr>
        <w:ind w:left="4799" w:hanging="420"/>
      </w:pPr>
    </w:lvl>
    <w:lvl w:ilvl="4" w:tentative="0">
      <w:start w:val="1"/>
      <w:numFmt w:val="lowerLetter"/>
      <w:lvlText w:val="%5)"/>
      <w:lvlJc w:val="left"/>
      <w:pPr>
        <w:ind w:left="5219" w:hanging="420"/>
      </w:pPr>
    </w:lvl>
    <w:lvl w:ilvl="5" w:tentative="0">
      <w:start w:val="1"/>
      <w:numFmt w:val="lowerRoman"/>
      <w:lvlText w:val="%6."/>
      <w:lvlJc w:val="right"/>
      <w:pPr>
        <w:ind w:left="5639" w:hanging="420"/>
      </w:pPr>
    </w:lvl>
    <w:lvl w:ilvl="6" w:tentative="0">
      <w:start w:val="1"/>
      <w:numFmt w:val="decimal"/>
      <w:lvlText w:val="%7."/>
      <w:lvlJc w:val="left"/>
      <w:pPr>
        <w:ind w:left="6059" w:hanging="420"/>
      </w:pPr>
    </w:lvl>
    <w:lvl w:ilvl="7" w:tentative="0">
      <w:start w:val="1"/>
      <w:numFmt w:val="lowerLetter"/>
      <w:lvlText w:val="%8)"/>
      <w:lvlJc w:val="left"/>
      <w:pPr>
        <w:ind w:left="6479" w:hanging="420"/>
      </w:pPr>
    </w:lvl>
    <w:lvl w:ilvl="8" w:tentative="0">
      <w:start w:val="1"/>
      <w:numFmt w:val="lowerRoman"/>
      <w:lvlText w:val="%9."/>
      <w:lvlJc w:val="right"/>
      <w:pPr>
        <w:ind w:left="6899"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displayBackgroundShape w:val="1"/>
  <w:bordersDoNotSurroundHeader w:val="0"/>
  <w:bordersDoNotSurroundFooter w:val="0"/>
  <w:documentProtection w:enforcement="0"/>
  <w:defaultTabStop w:val="420"/>
  <w:drawingGridHorizontalSpacing w:val="120"/>
  <w:drawingGridVerticalSpacing w:val="33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yODgzNGNiZTQ3NjYzZDJiNTFiMjBhNTEyOTNhOWEifQ=="/>
  </w:docVars>
  <w:rsids>
    <w:rsidRoot w:val="00E65B0E"/>
    <w:rsid w:val="00003048"/>
    <w:rsid w:val="000153FF"/>
    <w:rsid w:val="000249F4"/>
    <w:rsid w:val="00024DB6"/>
    <w:rsid w:val="00033B8A"/>
    <w:rsid w:val="0005219B"/>
    <w:rsid w:val="000629EE"/>
    <w:rsid w:val="00065CB2"/>
    <w:rsid w:val="000C6885"/>
    <w:rsid w:val="000F2946"/>
    <w:rsid w:val="000F4307"/>
    <w:rsid w:val="001033DD"/>
    <w:rsid w:val="00131B72"/>
    <w:rsid w:val="00134800"/>
    <w:rsid w:val="001532AA"/>
    <w:rsid w:val="00163390"/>
    <w:rsid w:val="00167BA3"/>
    <w:rsid w:val="0018347F"/>
    <w:rsid w:val="00185C34"/>
    <w:rsid w:val="001A55E4"/>
    <w:rsid w:val="001C274B"/>
    <w:rsid w:val="001D0447"/>
    <w:rsid w:val="001D2F34"/>
    <w:rsid w:val="001E43F6"/>
    <w:rsid w:val="001F1384"/>
    <w:rsid w:val="00203C81"/>
    <w:rsid w:val="00206498"/>
    <w:rsid w:val="00224404"/>
    <w:rsid w:val="00235771"/>
    <w:rsid w:val="00264137"/>
    <w:rsid w:val="002670B9"/>
    <w:rsid w:val="00270DEC"/>
    <w:rsid w:val="00274811"/>
    <w:rsid w:val="00286C4E"/>
    <w:rsid w:val="002A311C"/>
    <w:rsid w:val="002A408C"/>
    <w:rsid w:val="002E580B"/>
    <w:rsid w:val="002F7CE5"/>
    <w:rsid w:val="0030192A"/>
    <w:rsid w:val="00310CD0"/>
    <w:rsid w:val="00312B88"/>
    <w:rsid w:val="003206C2"/>
    <w:rsid w:val="00343888"/>
    <w:rsid w:val="00352B38"/>
    <w:rsid w:val="003610E7"/>
    <w:rsid w:val="003642A2"/>
    <w:rsid w:val="00386660"/>
    <w:rsid w:val="0039755E"/>
    <w:rsid w:val="003B2005"/>
    <w:rsid w:val="003C0625"/>
    <w:rsid w:val="003D2BCB"/>
    <w:rsid w:val="003E4794"/>
    <w:rsid w:val="003E7AFA"/>
    <w:rsid w:val="00404FAD"/>
    <w:rsid w:val="004120F6"/>
    <w:rsid w:val="00432AE7"/>
    <w:rsid w:val="00445E36"/>
    <w:rsid w:val="00463DCF"/>
    <w:rsid w:val="00472E2B"/>
    <w:rsid w:val="00473F79"/>
    <w:rsid w:val="00491C82"/>
    <w:rsid w:val="00493703"/>
    <w:rsid w:val="00493C7D"/>
    <w:rsid w:val="00497CE6"/>
    <w:rsid w:val="004A6311"/>
    <w:rsid w:val="004B43FB"/>
    <w:rsid w:val="004E212A"/>
    <w:rsid w:val="004E6CC6"/>
    <w:rsid w:val="00517BCF"/>
    <w:rsid w:val="00525028"/>
    <w:rsid w:val="00552DE5"/>
    <w:rsid w:val="00553A22"/>
    <w:rsid w:val="0056590B"/>
    <w:rsid w:val="00582F34"/>
    <w:rsid w:val="00585546"/>
    <w:rsid w:val="005D01FF"/>
    <w:rsid w:val="005D0C29"/>
    <w:rsid w:val="005E0A8E"/>
    <w:rsid w:val="005E4CE5"/>
    <w:rsid w:val="005F0B01"/>
    <w:rsid w:val="006169F7"/>
    <w:rsid w:val="00617EEC"/>
    <w:rsid w:val="00624864"/>
    <w:rsid w:val="006471E9"/>
    <w:rsid w:val="00651A41"/>
    <w:rsid w:val="0065495E"/>
    <w:rsid w:val="00656131"/>
    <w:rsid w:val="00694CA5"/>
    <w:rsid w:val="006A548E"/>
    <w:rsid w:val="006B6CE7"/>
    <w:rsid w:val="006C42E7"/>
    <w:rsid w:val="006F1FA6"/>
    <w:rsid w:val="006F577E"/>
    <w:rsid w:val="0070401B"/>
    <w:rsid w:val="0071770F"/>
    <w:rsid w:val="0072775A"/>
    <w:rsid w:val="00737719"/>
    <w:rsid w:val="00741A3C"/>
    <w:rsid w:val="007477C2"/>
    <w:rsid w:val="00747C33"/>
    <w:rsid w:val="00747D2C"/>
    <w:rsid w:val="00767988"/>
    <w:rsid w:val="00770CDE"/>
    <w:rsid w:val="00773B1C"/>
    <w:rsid w:val="007931AC"/>
    <w:rsid w:val="00793416"/>
    <w:rsid w:val="007A178B"/>
    <w:rsid w:val="007A4153"/>
    <w:rsid w:val="007D519F"/>
    <w:rsid w:val="007E3261"/>
    <w:rsid w:val="007E5431"/>
    <w:rsid w:val="007F2358"/>
    <w:rsid w:val="00842A4A"/>
    <w:rsid w:val="00846CF7"/>
    <w:rsid w:val="00855DEA"/>
    <w:rsid w:val="00860D10"/>
    <w:rsid w:val="008637EA"/>
    <w:rsid w:val="00871E9C"/>
    <w:rsid w:val="008832FA"/>
    <w:rsid w:val="00894A30"/>
    <w:rsid w:val="008C1CF1"/>
    <w:rsid w:val="008E0B26"/>
    <w:rsid w:val="008F2C5F"/>
    <w:rsid w:val="008F3AC5"/>
    <w:rsid w:val="00902073"/>
    <w:rsid w:val="00921D1C"/>
    <w:rsid w:val="009263C6"/>
    <w:rsid w:val="00937E27"/>
    <w:rsid w:val="00956A99"/>
    <w:rsid w:val="009573E9"/>
    <w:rsid w:val="00973C99"/>
    <w:rsid w:val="009744DF"/>
    <w:rsid w:val="00993242"/>
    <w:rsid w:val="009A0C39"/>
    <w:rsid w:val="00A046A8"/>
    <w:rsid w:val="00A053AB"/>
    <w:rsid w:val="00A177A9"/>
    <w:rsid w:val="00A50475"/>
    <w:rsid w:val="00A83874"/>
    <w:rsid w:val="00A857C3"/>
    <w:rsid w:val="00AA0E99"/>
    <w:rsid w:val="00AA3F85"/>
    <w:rsid w:val="00AD6F93"/>
    <w:rsid w:val="00AE059C"/>
    <w:rsid w:val="00AF33FC"/>
    <w:rsid w:val="00B02031"/>
    <w:rsid w:val="00B06A9E"/>
    <w:rsid w:val="00B3550D"/>
    <w:rsid w:val="00B428CB"/>
    <w:rsid w:val="00B458F6"/>
    <w:rsid w:val="00B5348F"/>
    <w:rsid w:val="00B56649"/>
    <w:rsid w:val="00B72912"/>
    <w:rsid w:val="00B776CC"/>
    <w:rsid w:val="00B8477F"/>
    <w:rsid w:val="00BB689B"/>
    <w:rsid w:val="00BC2B7B"/>
    <w:rsid w:val="00BD114D"/>
    <w:rsid w:val="00BD2C64"/>
    <w:rsid w:val="00BE07AB"/>
    <w:rsid w:val="00BE77B1"/>
    <w:rsid w:val="00BF0430"/>
    <w:rsid w:val="00BF186D"/>
    <w:rsid w:val="00C022C8"/>
    <w:rsid w:val="00C054FA"/>
    <w:rsid w:val="00C10922"/>
    <w:rsid w:val="00C10D68"/>
    <w:rsid w:val="00C26C7C"/>
    <w:rsid w:val="00C318E4"/>
    <w:rsid w:val="00C3533A"/>
    <w:rsid w:val="00C35514"/>
    <w:rsid w:val="00C40561"/>
    <w:rsid w:val="00C461A5"/>
    <w:rsid w:val="00C476AC"/>
    <w:rsid w:val="00C676C8"/>
    <w:rsid w:val="00C859E2"/>
    <w:rsid w:val="00C97149"/>
    <w:rsid w:val="00CC7731"/>
    <w:rsid w:val="00CD5A84"/>
    <w:rsid w:val="00D05BBD"/>
    <w:rsid w:val="00D26FCF"/>
    <w:rsid w:val="00D33A5C"/>
    <w:rsid w:val="00D41305"/>
    <w:rsid w:val="00D43A5E"/>
    <w:rsid w:val="00D507E6"/>
    <w:rsid w:val="00D55F5E"/>
    <w:rsid w:val="00D64691"/>
    <w:rsid w:val="00D82B02"/>
    <w:rsid w:val="00DA33A7"/>
    <w:rsid w:val="00E36DCC"/>
    <w:rsid w:val="00E37272"/>
    <w:rsid w:val="00E65B0E"/>
    <w:rsid w:val="00E7116B"/>
    <w:rsid w:val="00E73355"/>
    <w:rsid w:val="00E77B27"/>
    <w:rsid w:val="00E834D1"/>
    <w:rsid w:val="00E844AC"/>
    <w:rsid w:val="00E87593"/>
    <w:rsid w:val="00EB76A7"/>
    <w:rsid w:val="00ED0E9E"/>
    <w:rsid w:val="00EF1D9F"/>
    <w:rsid w:val="00EF3E26"/>
    <w:rsid w:val="00F03767"/>
    <w:rsid w:val="00F24081"/>
    <w:rsid w:val="00F240D1"/>
    <w:rsid w:val="00F24DAD"/>
    <w:rsid w:val="00F32198"/>
    <w:rsid w:val="00F37E28"/>
    <w:rsid w:val="00F56F18"/>
    <w:rsid w:val="00F66720"/>
    <w:rsid w:val="00F747D6"/>
    <w:rsid w:val="00F85586"/>
    <w:rsid w:val="00F96DC1"/>
    <w:rsid w:val="00F96FDB"/>
    <w:rsid w:val="00FA0100"/>
    <w:rsid w:val="00FA5356"/>
    <w:rsid w:val="00FB6FE5"/>
    <w:rsid w:val="00FE52F2"/>
    <w:rsid w:val="00FF4D72"/>
    <w:rsid w:val="02343E4F"/>
    <w:rsid w:val="04B20A82"/>
    <w:rsid w:val="090D0D3B"/>
    <w:rsid w:val="09702BF6"/>
    <w:rsid w:val="0B8C7830"/>
    <w:rsid w:val="1BB27FBE"/>
    <w:rsid w:val="1E551A40"/>
    <w:rsid w:val="232B44C7"/>
    <w:rsid w:val="28297ADF"/>
    <w:rsid w:val="291F5C86"/>
    <w:rsid w:val="2F326AD7"/>
    <w:rsid w:val="33666B18"/>
    <w:rsid w:val="34B30302"/>
    <w:rsid w:val="35085D0E"/>
    <w:rsid w:val="36414B11"/>
    <w:rsid w:val="3A5A0F9D"/>
    <w:rsid w:val="3ACD1B62"/>
    <w:rsid w:val="3BFD7E9E"/>
    <w:rsid w:val="3CAE51B5"/>
    <w:rsid w:val="3F8E1520"/>
    <w:rsid w:val="456721E6"/>
    <w:rsid w:val="45A86EC8"/>
    <w:rsid w:val="48B9571B"/>
    <w:rsid w:val="55E373A8"/>
    <w:rsid w:val="643A33CD"/>
    <w:rsid w:val="6AEE41CC"/>
    <w:rsid w:val="6B39476E"/>
    <w:rsid w:val="715B5E83"/>
    <w:rsid w:val="723D4B43"/>
    <w:rsid w:val="75D376DD"/>
    <w:rsid w:val="79140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14"/>
    <w:qFormat/>
    <w:uiPriority w:val="9"/>
    <w:pPr>
      <w:keepNext/>
      <w:keepLines/>
      <w:ind w:firstLine="0" w:firstLineChars="0"/>
      <w:outlineLvl w:val="0"/>
    </w:pPr>
    <w:rPr>
      <w:b/>
      <w:bCs/>
      <w:kern w:val="44"/>
      <w:sz w:val="28"/>
      <w:szCs w:val="44"/>
    </w:rPr>
  </w:style>
  <w:style w:type="paragraph" w:styleId="3">
    <w:name w:val="heading 2"/>
    <w:basedOn w:val="1"/>
    <w:next w:val="1"/>
    <w:link w:val="15"/>
    <w:unhideWhenUsed/>
    <w:qFormat/>
    <w:uiPriority w:val="9"/>
    <w:pPr>
      <w:keepNext/>
      <w:keepLines/>
      <w:ind w:firstLine="0" w:firstLineChars="0"/>
      <w:outlineLvl w:val="1"/>
    </w:pPr>
    <w:rPr>
      <w:rFonts w:cstheme="majorBidi"/>
      <w:b/>
      <w:bCs/>
      <w:szCs w:val="32"/>
    </w:rPr>
  </w:style>
  <w:style w:type="paragraph" w:styleId="4">
    <w:name w:val="heading 3"/>
    <w:basedOn w:val="1"/>
    <w:next w:val="1"/>
    <w:link w:val="17"/>
    <w:unhideWhenUsed/>
    <w:qFormat/>
    <w:uiPriority w:val="9"/>
    <w:pPr>
      <w:keepNext/>
      <w:keepLines/>
      <w:ind w:firstLine="0" w:firstLineChars="0"/>
      <w:outlineLvl w:val="2"/>
    </w:pPr>
    <w:rPr>
      <w:bCs/>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semiHidden/>
    <w:unhideWhenUsed/>
    <w:qFormat/>
    <w:uiPriority w:val="39"/>
    <w:pPr>
      <w:ind w:left="840" w:leftChars="400"/>
    </w:p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customStyle="1" w:styleId="14">
    <w:name w:val="标题 1 Char"/>
    <w:basedOn w:val="12"/>
    <w:link w:val="2"/>
    <w:qFormat/>
    <w:uiPriority w:val="9"/>
    <w:rPr>
      <w:rFonts w:ascii="Times New Roman" w:hAnsi="Times New Roman" w:eastAsia="宋体"/>
      <w:b/>
      <w:bCs/>
      <w:kern w:val="44"/>
      <w:sz w:val="28"/>
      <w:szCs w:val="44"/>
    </w:rPr>
  </w:style>
  <w:style w:type="character" w:customStyle="1" w:styleId="15">
    <w:name w:val="标题 2 Char"/>
    <w:basedOn w:val="12"/>
    <w:link w:val="3"/>
    <w:semiHidden/>
    <w:qFormat/>
    <w:uiPriority w:val="9"/>
    <w:rPr>
      <w:rFonts w:ascii="Times New Roman" w:hAnsi="Times New Roman" w:eastAsia="宋体" w:cstheme="majorBidi"/>
      <w:b/>
      <w:bCs/>
      <w:sz w:val="24"/>
      <w:szCs w:val="32"/>
    </w:rPr>
  </w:style>
  <w:style w:type="character" w:customStyle="1" w:styleId="16">
    <w:name w:val="页脚 Char"/>
    <w:basedOn w:val="12"/>
    <w:link w:val="6"/>
    <w:qFormat/>
    <w:uiPriority w:val="99"/>
    <w:rPr>
      <w:sz w:val="18"/>
      <w:szCs w:val="18"/>
    </w:rPr>
  </w:style>
  <w:style w:type="character" w:customStyle="1" w:styleId="17">
    <w:name w:val="标题 3 Char"/>
    <w:basedOn w:val="12"/>
    <w:link w:val="4"/>
    <w:semiHidden/>
    <w:qFormat/>
    <w:uiPriority w:val="9"/>
    <w:rPr>
      <w:rFonts w:ascii="Times New Roman" w:hAnsi="Times New Roman" w:eastAsia="宋体"/>
      <w:bCs/>
      <w:sz w:val="24"/>
      <w:szCs w:val="32"/>
    </w:rPr>
  </w:style>
  <w:style w:type="paragraph" w:customStyle="1" w:styleId="18">
    <w:name w:val="表格文字"/>
    <w:basedOn w:val="1"/>
    <w:qFormat/>
    <w:uiPriority w:val="0"/>
    <w:pPr>
      <w:spacing w:line="240" w:lineRule="auto"/>
      <w:ind w:firstLine="0" w:firstLineChars="0"/>
      <w:jc w:val="center"/>
    </w:pPr>
    <w:rPr>
      <w:rFonts w:ascii="Times New Roman" w:hAnsi="Times New Roman" w:cs="Times New Roman"/>
      <w:sz w:val="21"/>
      <w:szCs w:val="24"/>
    </w:rPr>
  </w:style>
  <w:style w:type="character" w:customStyle="1" w:styleId="19">
    <w:name w:val="页眉 Char"/>
    <w:basedOn w:val="12"/>
    <w:link w:val="7"/>
    <w:qFormat/>
    <w:uiPriority w:val="99"/>
    <w:rPr>
      <w:sz w:val="18"/>
      <w:szCs w:val="18"/>
    </w:rPr>
  </w:style>
  <w:style w:type="paragraph" w:styleId="20">
    <w:name w:val="List Paragraph"/>
    <w:basedOn w:val="1"/>
    <w:qFormat/>
    <w:uiPriority w:val="34"/>
    <w:pPr>
      <w:ind w:firstLine="420"/>
    </w:pPr>
  </w:style>
  <w:style w:type="paragraph" w:customStyle="1" w:styleId="21">
    <w:name w:val="碳一、"/>
    <w:basedOn w:val="2"/>
    <w:link w:val="23"/>
    <w:qFormat/>
    <w:uiPriority w:val="0"/>
    <w:rPr>
      <w:rFonts w:eastAsia="黑体" w:cs="Times New Roman"/>
      <w:b w:val="0"/>
      <w:szCs w:val="24"/>
    </w:rPr>
  </w:style>
  <w:style w:type="paragraph" w:customStyle="1" w:styleId="22">
    <w:name w:val="碳1."/>
    <w:basedOn w:val="3"/>
    <w:next w:val="4"/>
    <w:link w:val="25"/>
    <w:qFormat/>
    <w:uiPriority w:val="0"/>
    <w:rPr>
      <w:rFonts w:eastAsia="仿宋"/>
      <w:sz w:val="28"/>
    </w:rPr>
  </w:style>
  <w:style w:type="character" w:customStyle="1" w:styleId="23">
    <w:name w:val="碳一、 Char"/>
    <w:basedOn w:val="12"/>
    <w:link w:val="21"/>
    <w:qFormat/>
    <w:uiPriority w:val="0"/>
    <w:rPr>
      <w:rFonts w:ascii="Times New Roman" w:hAnsi="Times New Roman" w:eastAsia="黑体" w:cs="Times New Roman"/>
      <w:bCs/>
      <w:kern w:val="44"/>
      <w:sz w:val="28"/>
      <w:szCs w:val="24"/>
    </w:rPr>
  </w:style>
  <w:style w:type="paragraph" w:customStyle="1" w:styleId="24">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5">
    <w:name w:val="碳1. Char"/>
    <w:basedOn w:val="12"/>
    <w:link w:val="22"/>
    <w:qFormat/>
    <w:uiPriority w:val="0"/>
    <w:rPr>
      <w:rFonts w:ascii="Times New Roman" w:hAnsi="Times New Roman" w:eastAsia="仿宋" w:cstheme="majorBidi"/>
      <w:b/>
      <w:bCs/>
      <w:sz w:val="28"/>
      <w:szCs w:val="32"/>
    </w:rPr>
  </w:style>
  <w:style w:type="paragraph" w:customStyle="1" w:styleId="26">
    <w:name w:val="碳1.1"/>
    <w:basedOn w:val="4"/>
    <w:link w:val="27"/>
    <w:qFormat/>
    <w:uiPriority w:val="0"/>
    <w:rPr>
      <w:rFonts w:eastAsia="仿宋"/>
      <w:sz w:val="28"/>
    </w:rPr>
  </w:style>
  <w:style w:type="character" w:customStyle="1" w:styleId="27">
    <w:name w:val="碳1.1 Char"/>
    <w:basedOn w:val="12"/>
    <w:link w:val="26"/>
    <w:qFormat/>
    <w:uiPriority w:val="0"/>
    <w:rPr>
      <w:rFonts w:ascii="Times New Roman" w:hAnsi="Times New Roman" w:eastAsia="仿宋"/>
      <w:b/>
      <w:bCs/>
      <w:sz w:val="28"/>
      <w:szCs w:val="32"/>
    </w:rPr>
  </w:style>
  <w:style w:type="paragraph" w:customStyle="1" w:styleId="28">
    <w:name w:val="表文"/>
    <w:basedOn w:val="1"/>
    <w:qFormat/>
    <w:uiPriority w:val="1"/>
    <w:pPr>
      <w:adjustRightInd w:val="0"/>
      <w:snapToGrid w:val="0"/>
      <w:spacing w:line="240" w:lineRule="auto"/>
      <w:ind w:firstLine="0" w:firstLineChars="0"/>
      <w:jc w:val="center"/>
    </w:pPr>
    <w:rPr>
      <w:kern w:val="0"/>
      <w:sz w:val="21"/>
      <w:lang w:eastAsia="en-US"/>
    </w:rPr>
  </w:style>
  <w:style w:type="table" w:customStyle="1" w:styleId="29">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30">
    <w:name w:val="正文正文"/>
    <w:basedOn w:val="31"/>
    <w:link w:val="32"/>
    <w:qFormat/>
    <w:uiPriority w:val="0"/>
    <w:pPr>
      <w:overflowPunct w:val="0"/>
    </w:pPr>
    <w:rPr>
      <w:bCs/>
    </w:rPr>
  </w:style>
  <w:style w:type="paragraph" w:customStyle="1" w:styleId="31">
    <w:name w:val="正文文"/>
    <w:basedOn w:val="1"/>
    <w:qFormat/>
    <w:uiPriority w:val="99"/>
    <w:pPr>
      <w:overflowPunct w:val="0"/>
      <w:spacing w:line="480" w:lineRule="exact"/>
      <w:ind w:firstLine="200" w:firstLineChars="200"/>
    </w:pPr>
    <w:rPr>
      <w:rFonts w:ascii="Times New Roman" w:hAnsi="Times New Roman" w:eastAsia="仿宋_GB2312"/>
      <w:b/>
      <w:sz w:val="28"/>
    </w:rPr>
  </w:style>
  <w:style w:type="character" w:customStyle="1" w:styleId="32">
    <w:name w:val="正文正文 Char"/>
    <w:basedOn w:val="12"/>
    <w:link w:val="30"/>
    <w:qFormat/>
    <w:uiPriority w:val="0"/>
    <w:rPr>
      <w:rFonts w:ascii="Times New Roman" w:hAnsi="Times New Roman" w:eastAsia="宋体"/>
      <w:bCs/>
      <w:kern w:val="2"/>
      <w:sz w:val="24"/>
      <w:szCs w:val="22"/>
    </w:rPr>
  </w:style>
  <w:style w:type="paragraph" w:customStyle="1" w:styleId="33">
    <w:name w:val="二级标题"/>
    <w:link w:val="34"/>
    <w:qFormat/>
    <w:uiPriority w:val="0"/>
    <w:pPr>
      <w:keepNext/>
      <w:keepLines/>
      <w:spacing w:before="50" w:beforeLines="50" w:after="50" w:afterLines="50" w:line="480" w:lineRule="exact"/>
      <w:ind w:firstLine="200" w:firstLineChars="200"/>
      <w:jc w:val="both"/>
      <w:outlineLvl w:val="1"/>
    </w:pPr>
    <w:rPr>
      <w:rFonts w:ascii="Times New Roman" w:hAnsi="Times New Roman" w:eastAsia="仿宋_GB2312" w:cs="Times New Roman"/>
      <w:b/>
      <w:kern w:val="2"/>
      <w:sz w:val="28"/>
      <w:szCs w:val="32"/>
      <w:lang w:val="en-US" w:eastAsia="zh-CN" w:bidi="ar-SA"/>
    </w:rPr>
  </w:style>
  <w:style w:type="character" w:customStyle="1" w:styleId="34">
    <w:name w:val="二级标题 Char"/>
    <w:basedOn w:val="32"/>
    <w:link w:val="33"/>
    <w:qFormat/>
    <w:uiPriority w:val="0"/>
    <w:rPr>
      <w:rFonts w:ascii="Times New Roman" w:hAnsi="Times New Roman" w:eastAsia="仿宋_GB2312" w:cs="Times New Roman"/>
      <w:b/>
      <w:bCs w:val="0"/>
      <w:kern w:val="2"/>
      <w:sz w:val="28"/>
      <w:szCs w:val="32"/>
    </w:rPr>
  </w:style>
  <w:style w:type="paragraph" w:customStyle="1" w:styleId="35">
    <w:name w:val="3-1表头"/>
    <w:basedOn w:val="1"/>
    <w:next w:val="3"/>
    <w:link w:val="36"/>
    <w:qFormat/>
    <w:uiPriority w:val="0"/>
    <w:pPr>
      <w:keepNext/>
      <w:numPr>
        <w:ilvl w:val="0"/>
        <w:numId w:val="1"/>
      </w:numPr>
      <w:spacing w:before="120" w:beforeLines="50" w:after="120" w:afterLines="50" w:line="240" w:lineRule="auto"/>
      <w:ind w:firstLine="0" w:firstLineChars="0"/>
      <w:jc w:val="center"/>
    </w:pPr>
    <w:rPr>
      <w:rFonts w:eastAsia="黑体" w:cs="Times New Roman"/>
      <w:szCs w:val="32"/>
    </w:rPr>
  </w:style>
  <w:style w:type="character" w:customStyle="1" w:styleId="36">
    <w:name w:val="3-1表头 Char"/>
    <w:basedOn w:val="12"/>
    <w:link w:val="35"/>
    <w:qFormat/>
    <w:uiPriority w:val="0"/>
    <w:rPr>
      <w:rFonts w:ascii="Times New Roman" w:hAnsi="Times New Roman" w:eastAsia="黑体" w:cs="Times New Roman"/>
      <w:sz w:val="24"/>
      <w:szCs w:val="32"/>
    </w:rPr>
  </w:style>
  <w:style w:type="paragraph" w:customStyle="1" w:styleId="37">
    <w:name w:val="一级标题"/>
    <w:link w:val="38"/>
    <w:qFormat/>
    <w:uiPriority w:val="0"/>
    <w:pPr>
      <w:keepNext/>
      <w:keepLines/>
      <w:spacing w:before="50" w:beforeLines="50" w:after="50" w:afterLines="50" w:line="480" w:lineRule="exact"/>
      <w:ind w:firstLine="200" w:firstLineChars="200"/>
      <w:outlineLvl w:val="0"/>
    </w:pPr>
    <w:rPr>
      <w:rFonts w:ascii="黑体" w:hAnsi="黑体" w:eastAsia="黑体" w:cs="Times New Roman"/>
      <w:kern w:val="2"/>
      <w:sz w:val="30"/>
      <w:szCs w:val="32"/>
      <w:lang w:val="en-US" w:eastAsia="zh-CN" w:bidi="ar-SA"/>
    </w:rPr>
  </w:style>
  <w:style w:type="character" w:customStyle="1" w:styleId="38">
    <w:name w:val="一级标题 Char"/>
    <w:basedOn w:val="12"/>
    <w:link w:val="37"/>
    <w:qFormat/>
    <w:uiPriority w:val="0"/>
    <w:rPr>
      <w:rFonts w:ascii="黑体" w:hAnsi="黑体" w:eastAsia="黑体" w:cs="Times New Roman"/>
      <w:sz w:val="30"/>
      <w:szCs w:val="32"/>
    </w:rPr>
  </w:style>
  <w:style w:type="paragraph" w:customStyle="1" w:styleId="39">
    <w:name w:val="三级标题"/>
    <w:link w:val="40"/>
    <w:qFormat/>
    <w:uiPriority w:val="0"/>
    <w:pPr>
      <w:keepNext/>
      <w:keepLines/>
      <w:spacing w:before="50" w:beforeLines="50" w:after="50" w:afterLines="50" w:line="480" w:lineRule="exact"/>
      <w:ind w:firstLine="200" w:firstLineChars="200"/>
      <w:jc w:val="both"/>
      <w:outlineLvl w:val="2"/>
    </w:pPr>
    <w:rPr>
      <w:rFonts w:ascii="Times New Roman" w:hAnsi="Times New Roman" w:eastAsia="楷体" w:cs="Times New Roman"/>
      <w:b/>
      <w:kern w:val="2"/>
      <w:sz w:val="28"/>
      <w:szCs w:val="32"/>
      <w:lang w:val="en-US" w:eastAsia="zh-CN" w:bidi="ar-SA"/>
    </w:rPr>
  </w:style>
  <w:style w:type="character" w:customStyle="1" w:styleId="40">
    <w:name w:val="三级标题 Char"/>
    <w:basedOn w:val="32"/>
    <w:link w:val="39"/>
    <w:qFormat/>
    <w:uiPriority w:val="0"/>
    <w:rPr>
      <w:rFonts w:ascii="Times New Roman" w:hAnsi="Times New Roman" w:eastAsia="楷体" w:cs="Times New Roman"/>
      <w:b/>
      <w:bCs w:val="0"/>
      <w:kern w:val="2"/>
      <w:sz w:val="28"/>
      <w:szCs w:val="32"/>
    </w:rPr>
  </w:style>
  <w:style w:type="paragraph" w:customStyle="1" w:styleId="41">
    <w:name w:val="表头"/>
    <w:basedOn w:val="1"/>
    <w:link w:val="42"/>
    <w:qFormat/>
    <w:uiPriority w:val="0"/>
    <w:pPr>
      <w:keepNext/>
      <w:spacing w:beforeLines="50" w:afterLines="50" w:line="240" w:lineRule="auto"/>
      <w:ind w:firstLine="0" w:firstLineChars="0"/>
      <w:jc w:val="center"/>
    </w:pPr>
    <w:rPr>
      <w:rFonts w:eastAsia="黑体" w:cs="Times New Roman"/>
      <w:szCs w:val="32"/>
    </w:rPr>
  </w:style>
  <w:style w:type="character" w:customStyle="1" w:styleId="42">
    <w:name w:val="表头 Char"/>
    <w:basedOn w:val="12"/>
    <w:link w:val="41"/>
    <w:qFormat/>
    <w:uiPriority w:val="0"/>
    <w:rPr>
      <w:rFonts w:ascii="Times New Roman" w:hAnsi="Times New Roman" w:eastAsia="黑体" w:cs="Times New Roman"/>
      <w:sz w:val="24"/>
      <w:szCs w:val="32"/>
    </w:rPr>
  </w:style>
  <w:style w:type="paragraph" w:customStyle="1" w:styleId="43">
    <w:name w:val="WPSOffice手动目录 1"/>
    <w:qFormat/>
    <w:uiPriority w:val="0"/>
    <w:pPr>
      <w:ind w:leftChars="0"/>
    </w:pPr>
    <w:rPr>
      <w:rFonts w:asciiTheme="minorHAnsi" w:hAnsiTheme="minorHAnsi" w:eastAsiaTheme="minorEastAsia" w:cstheme="minorBidi"/>
      <w:sz w:val="20"/>
      <w:szCs w:val="20"/>
    </w:rPr>
  </w:style>
  <w:style w:type="paragraph" w:customStyle="1" w:styleId="44">
    <w:name w:val="WPSOffice手动目录 2"/>
    <w:qFormat/>
    <w:uiPriority w:val="0"/>
    <w:pPr>
      <w:ind w:leftChars="200"/>
    </w:pPr>
    <w:rPr>
      <w:rFonts w:asciiTheme="minorHAnsi" w:hAnsiTheme="minorHAnsi" w:eastAsiaTheme="minorEastAsia" w:cstheme="minorBidi"/>
      <w:sz w:val="20"/>
      <w:szCs w:val="20"/>
    </w:rPr>
  </w:style>
  <w:style w:type="paragraph" w:customStyle="1" w:styleId="45">
    <w:name w:val="WPSOffice手动目录 3"/>
    <w:qFormat/>
    <w:uiPriority w:val="0"/>
    <w:pPr>
      <w:ind w:leftChars="400"/>
    </w:pPr>
    <w:rPr>
      <w:rFonts w:asciiTheme="minorHAnsi" w:hAnsiTheme="minorHAnsi" w:eastAsiaTheme="minorEastAsia" w:cstheme="minorBidi"/>
      <w:sz w:val="20"/>
      <w:szCs w:val="20"/>
    </w:rPr>
  </w:style>
  <w:style w:type="paragraph" w:customStyle="1" w:styleId="46">
    <w:name w:val="图例"/>
    <w:qFormat/>
    <w:uiPriority w:val="0"/>
    <w:pPr>
      <w:spacing w:beforeLines="50" w:afterLines="50"/>
      <w:jc w:val="center"/>
    </w:pPr>
    <w:rPr>
      <w:rFonts w:ascii="Times New Roman" w:hAnsi="Times New Roman" w:eastAsia="黑体" w:cs="Times New Roman"/>
      <w:kern w:val="2"/>
      <w:sz w:val="24"/>
      <w:szCs w:val="32"/>
      <w:lang w:val="en-US" w:eastAsia="zh-CN" w:bidi="ar-SA"/>
    </w:rPr>
  </w:style>
  <w:style w:type="paragraph" w:customStyle="1" w:styleId="47">
    <w:name w:val="GGE-表格文字"/>
    <w:qFormat/>
    <w:uiPriority w:val="0"/>
    <w:pPr>
      <w:adjustRightInd w:val="0"/>
      <w:jc w:val="center"/>
    </w:pPr>
    <w:rPr>
      <w:rFonts w:ascii="Times New Roman" w:hAnsi="Times New Roman" w:eastAsia="宋体" w:cstheme="minorBidi"/>
      <w:kern w:val="2"/>
      <w:sz w:val="24"/>
      <w:szCs w:val="22"/>
      <w:lang w:val="en-US" w:eastAsia="zh-CN" w:bidi="ar-SA"/>
    </w:rPr>
  </w:style>
  <w:style w:type="paragraph" w:customStyle="1" w:styleId="48">
    <w:name w:val="GGE-正文"/>
    <w:qFormat/>
    <w:uiPriority w:val="0"/>
    <w:pPr>
      <w:spacing w:line="360" w:lineRule="auto"/>
      <w:ind w:firstLine="200" w:firstLineChars="200"/>
      <w:jc w:val="both"/>
    </w:pPr>
    <w:rPr>
      <w:rFonts w:ascii="Times New Roman" w:hAnsi="Times New Roman" w:eastAsia="宋体" w:cstheme="minorBidi"/>
      <w:kern w:val="2"/>
      <w:sz w:val="24"/>
      <w:szCs w:val="22"/>
      <w:lang w:val="en-US" w:eastAsia="zh-CN" w:bidi="ar-SA"/>
    </w:rPr>
  </w:style>
  <w:style w:type="character" w:customStyle="1" w:styleId="49">
    <w:name w:val="font11"/>
    <w:basedOn w:val="12"/>
    <w:qFormat/>
    <w:uiPriority w:val="0"/>
    <w:rPr>
      <w:rFonts w:hint="eastAsia" w:ascii="宋体" w:hAnsi="宋体" w:eastAsia="宋体" w:cs="宋体"/>
      <w:color w:val="000000"/>
      <w:sz w:val="22"/>
      <w:szCs w:val="22"/>
      <w:u w:val="none"/>
    </w:rPr>
  </w:style>
  <w:style w:type="character" w:customStyle="1" w:styleId="50">
    <w:name w:val="font31"/>
    <w:basedOn w:val="12"/>
    <w:qFormat/>
    <w:uiPriority w:val="0"/>
    <w:rPr>
      <w:rFonts w:hint="default" w:ascii="Times New Roman" w:hAnsi="Times New Roman" w:cs="Times New Roman"/>
      <w:color w:val="000000"/>
      <w:sz w:val="22"/>
      <w:szCs w:val="22"/>
      <w:u w:val="none"/>
    </w:rPr>
  </w:style>
  <w:style w:type="character" w:customStyle="1" w:styleId="51">
    <w:name w:val="font21"/>
    <w:basedOn w:val="12"/>
    <w:qFormat/>
    <w:uiPriority w:val="0"/>
    <w:rPr>
      <w:rFonts w:hint="default" w:ascii="Times New Roman" w:hAnsi="Times New Roman" w:cs="Times New Roman"/>
      <w:color w:val="000000"/>
      <w:sz w:val="22"/>
      <w:szCs w:val="22"/>
      <w:u w:val="none"/>
    </w:rPr>
  </w:style>
  <w:style w:type="character" w:customStyle="1" w:styleId="52">
    <w:name w:val="font41"/>
    <w:basedOn w:val="12"/>
    <w:qFormat/>
    <w:uiPriority w:val="0"/>
    <w:rPr>
      <w:rFonts w:hint="eastAsia" w:ascii="宋体" w:hAnsi="宋体" w:eastAsia="宋体" w:cs="宋体"/>
      <w:color w:val="000000"/>
      <w:sz w:val="22"/>
      <w:szCs w:val="22"/>
      <w:u w:val="none"/>
    </w:rPr>
  </w:style>
  <w:style w:type="character" w:customStyle="1" w:styleId="53">
    <w:name w:val="font13"/>
    <w:basedOn w:val="12"/>
    <w:qFormat/>
    <w:uiPriority w:val="0"/>
    <w:rPr>
      <w:rFonts w:hint="eastAsia" w:ascii="宋体" w:hAnsi="宋体" w:eastAsia="宋体" w:cs="宋体"/>
      <w:b/>
      <w:bCs/>
      <w:color w:val="000000"/>
      <w:sz w:val="22"/>
      <w:szCs w:val="22"/>
      <w:u w:val="none"/>
    </w:rPr>
  </w:style>
  <w:style w:type="character" w:customStyle="1" w:styleId="54">
    <w:name w:val="font91"/>
    <w:basedOn w:val="12"/>
    <w:qFormat/>
    <w:uiPriority w:val="0"/>
    <w:rPr>
      <w:rFonts w:hint="eastAsia" w:ascii="宋体" w:hAnsi="宋体" w:eastAsia="宋体" w:cs="宋体"/>
      <w:b/>
      <w:bCs/>
      <w:color w:val="000000"/>
      <w:sz w:val="22"/>
      <w:szCs w:val="22"/>
      <w:u w:val="none"/>
      <w:vertAlign w:val="subscript"/>
    </w:rPr>
  </w:style>
  <w:style w:type="character" w:customStyle="1" w:styleId="55">
    <w:name w:val="font101"/>
    <w:basedOn w:val="12"/>
    <w:qFormat/>
    <w:uiPriority w:val="0"/>
    <w:rPr>
      <w:rFonts w:hint="default" w:ascii="Times New Roman" w:hAnsi="Times New Roman" w:cs="Times New Roman"/>
      <w:b/>
      <w:bCs/>
      <w:color w:val="000000"/>
      <w:sz w:val="22"/>
      <w:szCs w:val="22"/>
      <w:u w:val="none"/>
      <w:vertAlign w:val="subscript"/>
    </w:rPr>
  </w:style>
  <w:style w:type="character" w:customStyle="1" w:styleId="56">
    <w:name w:val="font61"/>
    <w:basedOn w:val="12"/>
    <w:qFormat/>
    <w:uiPriority w:val="0"/>
    <w:rPr>
      <w:rFonts w:hint="default" w:ascii="Times New Roman" w:hAnsi="Times New Roman" w:cs="Times New Roman"/>
      <w:color w:val="000000"/>
      <w:sz w:val="22"/>
      <w:szCs w:val="22"/>
      <w:u w:val="none"/>
    </w:rPr>
  </w:style>
  <w:style w:type="character" w:customStyle="1" w:styleId="57">
    <w:name w:val="font111"/>
    <w:basedOn w:val="12"/>
    <w:qFormat/>
    <w:uiPriority w:val="0"/>
    <w:rPr>
      <w:rFonts w:hint="eastAsia" w:ascii="宋体" w:hAnsi="宋体" w:eastAsia="宋体" w:cs="宋体"/>
      <w:color w:val="000000"/>
      <w:sz w:val="22"/>
      <w:szCs w:val="22"/>
      <w:u w:val="none"/>
      <w:vertAlign w:val="subscript"/>
    </w:rPr>
  </w:style>
  <w:style w:type="character" w:customStyle="1" w:styleId="58">
    <w:name w:val="font121"/>
    <w:basedOn w:val="12"/>
    <w:qFormat/>
    <w:uiPriority w:val="0"/>
    <w:rPr>
      <w:rFonts w:hint="default" w:ascii="Times New Roman" w:hAnsi="Times New Roman" w:cs="Times New Roman"/>
      <w:color w:val="000000"/>
      <w:sz w:val="22"/>
      <w:szCs w:val="22"/>
      <w:u w:val="none"/>
      <w:vertAlign w:val="subscript"/>
    </w:rPr>
  </w:style>
  <w:style w:type="character" w:customStyle="1" w:styleId="59">
    <w:name w:val="font51"/>
    <w:basedOn w:val="12"/>
    <w:qFormat/>
    <w:uiPriority w:val="0"/>
    <w:rPr>
      <w:rFonts w:hint="eastAsia" w:ascii="宋体" w:hAnsi="宋体" w:eastAsia="宋体" w:cs="宋体"/>
      <w:color w:val="000000"/>
      <w:sz w:val="22"/>
      <w:szCs w:val="22"/>
      <w:u w:val="none"/>
    </w:rPr>
  </w:style>
  <w:style w:type="character" w:customStyle="1" w:styleId="60">
    <w:name w:val="font01"/>
    <w:basedOn w:val="12"/>
    <w:qFormat/>
    <w:uiPriority w:val="0"/>
    <w:rPr>
      <w:rFonts w:hint="eastAsia" w:ascii="宋体" w:hAnsi="宋体" w:eastAsia="宋体" w:cs="宋体"/>
      <w:b/>
      <w:bCs/>
      <w:color w:val="000000"/>
      <w:sz w:val="22"/>
      <w:szCs w:val="22"/>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595F75-2D66-4D39-B076-F117498D8721}">
  <ds:schemaRefs/>
</ds:datastoreItem>
</file>

<file path=docProps/app.xml><?xml version="1.0" encoding="utf-8"?>
<Properties xmlns="http://schemas.openxmlformats.org/officeDocument/2006/extended-properties" xmlns:vt="http://schemas.openxmlformats.org/officeDocument/2006/docPropsVTypes">
  <Template>Normal</Template>
  <Pages>26</Pages>
  <Words>7478</Words>
  <Characters>10457</Characters>
  <Lines>69</Lines>
  <Paragraphs>19</Paragraphs>
  <TotalTime>3</TotalTime>
  <ScaleCrop>false</ScaleCrop>
  <LinksUpToDate>false</LinksUpToDate>
  <CharactersWithSpaces>10834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2022-04-02T01:25:00Z</dcterms:created>
  <dc:creator>Administrator</dc:creator>
  <cp:lastModifiedBy>Administrator</cp:lastModifiedBy>
  <dcterms:modified xsi:type="dcterms:W3CDTF">2024-08-19T02:30:26Z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C8DED5A5FCA648478697408D285020DA_13</vt:lpwstr>
  </property>
</Properties>
</file>